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90080" w:rsidRDefault="00ED7942">
      <w:pPr>
        <w:spacing w:before="240" w:afterLines="150" w:after="468" w:line="440" w:lineRule="exact"/>
        <w:ind w:left="-11" w:firstLine="11"/>
        <w:jc w:val="center"/>
        <w:rPr>
          <w:rFonts w:ascii="微软雅黑" w:eastAsia="微软雅黑" w:hAnsi="微软雅黑"/>
          <w:b/>
          <w:sz w:val="44"/>
          <w:szCs w:val="44"/>
        </w:rPr>
      </w:pPr>
      <w:bookmarkStart w:id="0" w:name="OLE_LINK1"/>
      <w:r>
        <w:rPr>
          <w:rFonts w:ascii="微软雅黑" w:eastAsia="微软雅黑" w:hAnsi="微软雅黑" w:hint="eastAsia"/>
          <w:b/>
          <w:sz w:val="44"/>
          <w:szCs w:val="44"/>
        </w:rPr>
        <w:t>现代商务礼仪</w:t>
      </w:r>
      <w:proofErr w:type="gramStart"/>
      <w:r>
        <w:rPr>
          <w:rFonts w:ascii="微软雅黑" w:eastAsia="微软雅黑" w:hAnsi="微软雅黑" w:hint="eastAsia"/>
          <w:b/>
          <w:sz w:val="44"/>
          <w:szCs w:val="44"/>
        </w:rPr>
        <w:t>与职场沟通</w:t>
      </w:r>
      <w:proofErr w:type="gramEnd"/>
      <w:r>
        <w:rPr>
          <w:rFonts w:ascii="微软雅黑" w:eastAsia="微软雅黑" w:hAnsi="微软雅黑" w:hint="eastAsia"/>
          <w:b/>
          <w:sz w:val="44"/>
          <w:szCs w:val="44"/>
        </w:rPr>
        <w:t>技巧</w:t>
      </w:r>
    </w:p>
    <w:p w:rsidR="00B90080" w:rsidRDefault="00ED7942">
      <w:pPr>
        <w:spacing w:beforeLines="50" w:before="156" w:afterLines="100" w:after="312"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8"/>
          <w:szCs w:val="28"/>
        </w:rPr>
        <w:t>学制：</w:t>
      </w:r>
      <w:r>
        <w:rPr>
          <w:rFonts w:ascii="宋体" w:hAnsi="宋体" w:hint="eastAsia"/>
          <w:sz w:val="24"/>
        </w:rPr>
        <w:t>两天</w:t>
      </w:r>
      <w:bookmarkStart w:id="1" w:name="_GoBack"/>
      <w:bookmarkEnd w:id="1"/>
    </w:p>
    <w:p w:rsidR="00B90080" w:rsidRDefault="00ED7942">
      <w:pPr>
        <w:spacing w:beforeLines="50" w:before="156" w:afterLines="100" w:after="312"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8"/>
          <w:szCs w:val="28"/>
        </w:rPr>
        <w:t>咨询电话：</w:t>
      </w:r>
      <w:r>
        <w:rPr>
          <w:rFonts w:ascii="宋体" w:hAnsi="宋体" w:hint="eastAsia"/>
          <w:sz w:val="24"/>
        </w:rPr>
        <w:t>400-061-6586</w:t>
      </w:r>
    </w:p>
    <w:p w:rsidR="00B90080" w:rsidRDefault="00ED7942">
      <w:pPr>
        <w:spacing w:beforeLines="50" w:before="156" w:afterLines="100" w:after="312" w:line="440" w:lineRule="exact"/>
        <w:rPr>
          <w:rFonts w:ascii="宋体" w:hAnsi="宋体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课程费用：</w:t>
      </w:r>
      <w:r>
        <w:rPr>
          <w:rFonts w:asciiTheme="minorEastAsia" w:hAnsiTheme="minorEastAsia"/>
          <w:sz w:val="24"/>
        </w:rPr>
        <w:t>3</w:t>
      </w:r>
      <w:r>
        <w:rPr>
          <w:rFonts w:asciiTheme="minorEastAsia" w:hAnsiTheme="minorEastAsia" w:hint="eastAsia"/>
          <w:sz w:val="24"/>
        </w:rPr>
        <w:t>6</w:t>
      </w:r>
      <w:r>
        <w:rPr>
          <w:rFonts w:asciiTheme="minorEastAsia" w:hAnsiTheme="minorEastAsia"/>
          <w:sz w:val="24"/>
        </w:rPr>
        <w:t>0</w:t>
      </w:r>
      <w:r>
        <w:rPr>
          <w:rFonts w:asciiTheme="minorEastAsia" w:hAnsiTheme="minorEastAsia" w:hint="eastAsia"/>
          <w:sz w:val="24"/>
        </w:rPr>
        <w:t>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="宋体" w:hAnsi="宋体" w:hint="eastAsia"/>
          <w:sz w:val="24"/>
        </w:rPr>
        <w:t>/</w:t>
      </w:r>
      <w:r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b/>
          <w:sz w:val="24"/>
        </w:rPr>
        <w:t>（</w:t>
      </w:r>
      <w:proofErr w:type="gramStart"/>
      <w:r>
        <w:rPr>
          <w:rFonts w:ascii="宋体" w:hAnsi="宋体" w:hint="eastAsia"/>
          <w:b/>
          <w:sz w:val="24"/>
        </w:rPr>
        <w:t>含资料</w:t>
      </w:r>
      <w:proofErr w:type="gramEnd"/>
      <w:r>
        <w:rPr>
          <w:rFonts w:ascii="宋体" w:hAnsi="宋体" w:hint="eastAsia"/>
          <w:b/>
          <w:sz w:val="24"/>
        </w:rPr>
        <w:t>费、专家演讲费、会务费）住宿可统一安排，费用自理</w:t>
      </w:r>
    </w:p>
    <w:p w:rsidR="00B90080" w:rsidRDefault="00ED7942">
      <w:pPr>
        <w:spacing w:beforeLines="50" w:before="156" w:afterLines="100" w:after="312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培训对象：</w:t>
      </w:r>
      <w:r>
        <w:rPr>
          <w:rFonts w:asciiTheme="minorEastAsia" w:hAnsiTheme="minorEastAsia" w:hint="eastAsia"/>
          <w:sz w:val="24"/>
        </w:rPr>
        <w:t>企业高级管理人员、总经理秘书、行政秘书、办公室主任、公关、销售经理、公司的商务接待以及高级职员。</w:t>
      </w:r>
    </w:p>
    <w:p w:rsidR="00B90080" w:rsidRDefault="00ED7942">
      <w:pPr>
        <w:spacing w:beforeLines="50" w:before="156" w:afterLines="50" w:after="156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认证费用：</w:t>
      </w:r>
      <w:r>
        <w:rPr>
          <w:rFonts w:asciiTheme="minorEastAsia" w:hAnsiTheme="minorEastAsia" w:hint="eastAsia"/>
          <w:sz w:val="24"/>
        </w:rPr>
        <w:t>中级证书</w:t>
      </w:r>
      <w:r>
        <w:rPr>
          <w:rFonts w:asciiTheme="minorEastAsia" w:hAnsiTheme="minorEastAsia" w:hint="eastAsia"/>
          <w:sz w:val="24"/>
        </w:rPr>
        <w:t>1000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;</w:t>
      </w:r>
      <w:r>
        <w:rPr>
          <w:rFonts w:asciiTheme="minorEastAsia" w:hAnsiTheme="minorEastAsia" w:hint="eastAsia"/>
          <w:sz w:val="24"/>
        </w:rPr>
        <w:t>高级证书</w:t>
      </w:r>
      <w:r>
        <w:rPr>
          <w:rFonts w:asciiTheme="minorEastAsia" w:hAnsiTheme="minorEastAsia" w:hint="eastAsia"/>
          <w:sz w:val="24"/>
        </w:rPr>
        <w:t>1200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(</w:t>
      </w:r>
      <w:r>
        <w:rPr>
          <w:rFonts w:asciiTheme="minorEastAsia" w:hAnsiTheme="minorEastAsia" w:hint="eastAsia"/>
          <w:sz w:val="24"/>
        </w:rPr>
        <w:t>参加认证考试的学员须</w:t>
      </w:r>
      <w:proofErr w:type="gramStart"/>
      <w:r>
        <w:rPr>
          <w:rFonts w:asciiTheme="minorEastAsia" w:hAnsiTheme="minorEastAsia" w:hint="eastAsia"/>
          <w:sz w:val="24"/>
        </w:rPr>
        <w:t>交纳此</w:t>
      </w:r>
      <w:proofErr w:type="gramEnd"/>
      <w:r>
        <w:rPr>
          <w:rFonts w:asciiTheme="minorEastAsia" w:hAnsiTheme="minorEastAsia" w:hint="eastAsia"/>
          <w:sz w:val="24"/>
        </w:rPr>
        <w:t>费用，不参加认证考试的学员无须交纳</w:t>
      </w:r>
      <w:r>
        <w:rPr>
          <w:rFonts w:asciiTheme="minorEastAsia" w:hAnsiTheme="minorEastAsia" w:hint="eastAsia"/>
          <w:sz w:val="24"/>
        </w:rPr>
        <w:t>)</w:t>
      </w:r>
      <w:r>
        <w:rPr>
          <w:rFonts w:asciiTheme="minorEastAsia" w:hAnsiTheme="minorEastAsia" w:hint="eastAsia"/>
          <w:sz w:val="24"/>
        </w:rPr>
        <w:t xml:space="preserve">　</w:t>
      </w:r>
    </w:p>
    <w:p w:rsidR="00B90080" w:rsidRDefault="00ED7942">
      <w:pPr>
        <w:spacing w:line="440" w:lineRule="exact"/>
        <w:rPr>
          <w:rFonts w:ascii="宋体" w:eastAsia="宋体" w:hAnsi="宋体" w:cs="宋体"/>
          <w:b/>
          <w:bCs/>
          <w:sz w:val="30"/>
          <w:szCs w:val="30"/>
        </w:rPr>
      </w:pP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备　　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>注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:</w:t>
      </w:r>
    </w:p>
    <w:p w:rsidR="00B90080" w:rsidRDefault="00ED7942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高级证书申请须同时进行理论考试和提交论文考试，学员在报名参加培训和认证时请提前准备好论文并</w:t>
      </w:r>
      <w:proofErr w:type="gramStart"/>
      <w:r>
        <w:rPr>
          <w:rFonts w:asciiTheme="minorEastAsia" w:hAnsiTheme="minorEastAsia" w:hint="eastAsia"/>
          <w:sz w:val="24"/>
        </w:rPr>
        <w:t>随理论</w:t>
      </w:r>
      <w:proofErr w:type="gramEnd"/>
      <w:r>
        <w:rPr>
          <w:rFonts w:asciiTheme="minorEastAsia" w:hAnsiTheme="minorEastAsia" w:hint="eastAsia"/>
          <w:sz w:val="24"/>
        </w:rPr>
        <w:t>考试试卷一同提交。</w:t>
      </w:r>
    </w:p>
    <w:p w:rsidR="00B90080" w:rsidRDefault="00ED7942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凡希望参加认证考试之学员，在培训结束后参加认证考试并合格者，由“香港国际职业资格认证中心</w:t>
      </w:r>
      <w:r>
        <w:rPr>
          <w:rFonts w:asciiTheme="minorEastAsia" w:hAnsiTheme="minorEastAsia" w:hint="eastAsia"/>
          <w:sz w:val="24"/>
        </w:rPr>
        <w:t>HKTCC</w:t>
      </w:r>
      <w:r>
        <w:rPr>
          <w:rFonts w:asciiTheme="minorEastAsia" w:hAnsiTheme="minorEastAsia" w:hint="eastAsia"/>
          <w:sz w:val="24"/>
        </w:rPr>
        <w:t>”颁发与所参加培训课程专业领域相对应证书。（国际认证／全球通行／雇主认可／联网查询）。</w:t>
      </w:r>
    </w:p>
    <w:p w:rsidR="00B90080" w:rsidRDefault="00ED7942">
      <w:pPr>
        <w:spacing w:beforeLines="50" w:before="156" w:afterLines="100" w:after="312"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课程结束后</w:t>
      </w:r>
      <w:r>
        <w:rPr>
          <w:rFonts w:asciiTheme="minorEastAsia" w:hAnsiTheme="minorEastAsia" w:hint="eastAsia"/>
          <w:sz w:val="24"/>
        </w:rPr>
        <w:t>20</w:t>
      </w:r>
      <w:r>
        <w:rPr>
          <w:rFonts w:asciiTheme="minorEastAsia" w:hAnsiTheme="minorEastAsia" w:hint="eastAsia"/>
          <w:sz w:val="24"/>
        </w:rPr>
        <w:t>日内将证书快递寄给学员；</w:t>
      </w:r>
    </w:p>
    <w:bookmarkEnd w:id="0"/>
    <w:p w:rsidR="00B90080" w:rsidRDefault="00ED794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/>
          <w:b/>
          <w:sz w:val="30"/>
          <w:szCs w:val="30"/>
        </w:rPr>
        <w:t>课程</w:t>
      </w:r>
      <w:r>
        <w:rPr>
          <w:rFonts w:ascii="微软雅黑" w:eastAsia="微软雅黑" w:hAnsi="微软雅黑" w:hint="eastAsia"/>
          <w:b/>
          <w:sz w:val="30"/>
          <w:szCs w:val="30"/>
        </w:rPr>
        <w:t>大纲</w:t>
      </w:r>
    </w:p>
    <w:p w:rsidR="00B90080" w:rsidRDefault="00B90080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一、商务礼仪概述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礼仪的定义与特征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商务礼仪的作用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商务礼仪的基本原则与要求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【情景模拟】三问剖析商务礼仪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二、职业形象塑造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【看电影学礼仪】形象到底是什么？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你的形象价值百万——不修边幅的人在社会上没有影响力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2.</w:t>
      </w:r>
      <w:r>
        <w:rPr>
          <w:rFonts w:asciiTheme="minorEastAsia" w:hAnsiTheme="minorEastAsia" w:hint="eastAsia"/>
          <w:sz w:val="24"/>
        </w:rPr>
        <w:t>首因效应——这是一个两分钟的世界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职业着装的基本原则：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适宜原则</w:t>
      </w:r>
      <w:r>
        <w:rPr>
          <w:rFonts w:asciiTheme="minorEastAsia" w:hAnsiTheme="minorEastAsia" w:hint="eastAsia"/>
          <w:sz w:val="24"/>
        </w:rPr>
        <w:t xml:space="preserve"> /</w:t>
      </w:r>
      <w:r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TPO</w:t>
      </w:r>
      <w:r>
        <w:rPr>
          <w:rFonts w:asciiTheme="minorEastAsia" w:hAnsiTheme="minorEastAsia" w:hint="eastAsia"/>
          <w:sz w:val="24"/>
        </w:rPr>
        <w:t>原则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和谐原则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个性原则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【案例分析】比尔盖茨为什么被拒绝进入高尔夫球场　　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>仪容仪表常见误区点评：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•发型标准、面部要求</w:t>
      </w:r>
      <w:r>
        <w:rPr>
          <w:rFonts w:asciiTheme="minorEastAsia" w:hAnsiTheme="minorEastAsia" w:hint="eastAsia"/>
          <w:sz w:val="24"/>
        </w:rPr>
        <w:t>(</w:t>
      </w:r>
      <w:r>
        <w:rPr>
          <w:rFonts w:asciiTheme="minorEastAsia" w:hAnsiTheme="minorEastAsia" w:hint="eastAsia"/>
          <w:sz w:val="24"/>
        </w:rPr>
        <w:t>男士修面与女士化妆</w:t>
      </w:r>
      <w:r>
        <w:rPr>
          <w:rFonts w:asciiTheme="minorEastAsia" w:hAnsiTheme="minorEastAsia" w:hint="eastAsia"/>
          <w:sz w:val="24"/>
        </w:rPr>
        <w:t xml:space="preserve">)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</w:t>
      </w:r>
      <w:proofErr w:type="gramStart"/>
      <w:r>
        <w:rPr>
          <w:rFonts w:asciiTheme="minorEastAsia" w:hAnsiTheme="minorEastAsia" w:hint="eastAsia"/>
          <w:sz w:val="24"/>
        </w:rPr>
        <w:t>男士着</w:t>
      </w:r>
      <w:proofErr w:type="gramEnd"/>
      <w:r>
        <w:rPr>
          <w:rFonts w:asciiTheme="minorEastAsia" w:hAnsiTheme="minorEastAsia" w:hint="eastAsia"/>
          <w:sz w:val="24"/>
        </w:rPr>
        <w:t>西装十大硬伤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</w:t>
      </w:r>
      <w:proofErr w:type="gramStart"/>
      <w:r>
        <w:rPr>
          <w:rFonts w:asciiTheme="minorEastAsia" w:hAnsiTheme="minorEastAsia" w:hint="eastAsia"/>
          <w:sz w:val="24"/>
        </w:rPr>
        <w:t>女士着</w:t>
      </w:r>
      <w:proofErr w:type="gramEnd"/>
      <w:r>
        <w:rPr>
          <w:rFonts w:asciiTheme="minorEastAsia" w:hAnsiTheme="minorEastAsia" w:hint="eastAsia"/>
          <w:sz w:val="24"/>
        </w:rPr>
        <w:t>正装十项注意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【案例分析】世界</w:t>
      </w:r>
      <w:r>
        <w:rPr>
          <w:rFonts w:asciiTheme="minorEastAsia" w:hAnsiTheme="minorEastAsia" w:hint="eastAsia"/>
          <w:sz w:val="24"/>
        </w:rPr>
        <w:t>500</w:t>
      </w:r>
      <w:r>
        <w:rPr>
          <w:rFonts w:asciiTheme="minorEastAsia" w:hAnsiTheme="minorEastAsia" w:hint="eastAsia"/>
          <w:sz w:val="24"/>
        </w:rPr>
        <w:t>强</w:t>
      </w:r>
      <w:proofErr w:type="gramStart"/>
      <w:r>
        <w:rPr>
          <w:rFonts w:asciiTheme="minorEastAsia" w:hAnsiTheme="minorEastAsia" w:hint="eastAsia"/>
          <w:sz w:val="24"/>
        </w:rPr>
        <w:t>企业职场着装</w:t>
      </w:r>
      <w:proofErr w:type="gramEnd"/>
      <w:r>
        <w:rPr>
          <w:rFonts w:asciiTheme="minorEastAsia" w:hAnsiTheme="minorEastAsia" w:hint="eastAsia"/>
          <w:sz w:val="24"/>
        </w:rPr>
        <w:t>通用标准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>
        <w:rPr>
          <w:rFonts w:asciiTheme="minorEastAsia" w:hAnsiTheme="minorEastAsia" w:hint="eastAsia"/>
          <w:sz w:val="24"/>
        </w:rPr>
        <w:t>综合形象提升技巧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【情景录像】不同场合的不同着装方式与技巧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【现场指导】自我形象检查与重新塑造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三、常用社交礼仪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</w:t>
      </w:r>
      <w:r>
        <w:rPr>
          <w:rFonts w:asciiTheme="minorEastAsia" w:hAnsiTheme="minorEastAsia" w:hint="eastAsia"/>
          <w:sz w:val="24"/>
        </w:rPr>
        <w:t>.</w:t>
      </w:r>
      <w:r>
        <w:rPr>
          <w:rFonts w:asciiTheme="minorEastAsia" w:hAnsiTheme="minorEastAsia" w:hint="eastAsia"/>
          <w:sz w:val="24"/>
        </w:rPr>
        <w:t>商务会面礼仪：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•迎送、称呼、问候致意、人际距离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•引导——在走廊、在楼梯、在电梯、在会客室门口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•介绍、握手、名片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【情景模拟】快速认识，得体交际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接待与拜访礼仪：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</w:t>
      </w:r>
      <w:proofErr w:type="gramStart"/>
      <w:r>
        <w:rPr>
          <w:rFonts w:asciiTheme="minorEastAsia" w:hAnsiTheme="minorEastAsia" w:hint="eastAsia"/>
          <w:sz w:val="24"/>
        </w:rPr>
        <w:t>不</w:t>
      </w:r>
      <w:proofErr w:type="gramEnd"/>
      <w:r>
        <w:rPr>
          <w:rFonts w:asciiTheme="minorEastAsia" w:hAnsiTheme="minorEastAsia" w:hint="eastAsia"/>
          <w:sz w:val="24"/>
        </w:rPr>
        <w:t>守时的人不可信——守时就是信誉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•商务拜访四步曲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•商务接待礼仪：基本原则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待客细节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待客分寸</w:t>
      </w:r>
      <w:r>
        <w:rPr>
          <w:rFonts w:asciiTheme="minorEastAsia" w:hAnsiTheme="minorEastAsia" w:hint="eastAsia"/>
          <w:sz w:val="24"/>
        </w:rPr>
        <w:t xml:space="preserve">/ </w:t>
      </w:r>
      <w:r>
        <w:rPr>
          <w:rFonts w:asciiTheme="minorEastAsia" w:hAnsiTheme="minorEastAsia" w:hint="eastAsia"/>
          <w:sz w:val="24"/>
        </w:rPr>
        <w:t>注意事项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【情景模拟】如何同时接待身份地位不同的几位客人？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乘坐交通工具的礼仪：乘小轿车、的士、飞机、火车等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>商务通讯礼仪：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•电话礼仪、手机及短信礼仪、传真礼仪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•网络沟通礼仪（</w:t>
      </w:r>
      <w:r>
        <w:rPr>
          <w:rFonts w:asciiTheme="minorEastAsia" w:hAnsiTheme="minorEastAsia" w:hint="eastAsia"/>
          <w:sz w:val="24"/>
        </w:rPr>
        <w:t>Email</w:t>
      </w:r>
      <w:r>
        <w:rPr>
          <w:rFonts w:asciiTheme="minorEastAsia" w:hAnsiTheme="minorEastAsia" w:hint="eastAsia"/>
          <w:sz w:val="24"/>
        </w:rPr>
        <w:t>，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>QQ</w:t>
      </w:r>
      <w:r>
        <w:rPr>
          <w:rFonts w:asciiTheme="minorEastAsia" w:hAnsiTheme="minorEastAsia" w:hint="eastAsia"/>
          <w:sz w:val="24"/>
        </w:rPr>
        <w:t>，</w:t>
      </w:r>
      <w:proofErr w:type="gramStart"/>
      <w:r>
        <w:rPr>
          <w:rFonts w:asciiTheme="minorEastAsia" w:hAnsiTheme="minorEastAsia" w:hint="eastAsia"/>
          <w:sz w:val="24"/>
        </w:rPr>
        <w:t>微信等</w:t>
      </w:r>
      <w:proofErr w:type="gramEnd"/>
      <w:r>
        <w:rPr>
          <w:rFonts w:asciiTheme="minorEastAsia" w:hAnsiTheme="minorEastAsia" w:hint="eastAsia"/>
          <w:sz w:val="24"/>
        </w:rPr>
        <w:t>）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【案例分析】不良手机礼仪与唾手可得的销售定单失之交臂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【案例分析】华为韵律原则——打扰是第一时间大盗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>
        <w:rPr>
          <w:rFonts w:asciiTheme="minorEastAsia" w:hAnsiTheme="minorEastAsia" w:hint="eastAsia"/>
          <w:sz w:val="24"/>
        </w:rPr>
        <w:t>位次礼仪：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•尊位的概念和特点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•常见场景位次排序——乘车、行进、会客、开会、谈判、签约、宴会、合影等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【案例分析】话说姚明退役合影留恋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6.</w:t>
      </w:r>
      <w:r>
        <w:rPr>
          <w:rFonts w:asciiTheme="minorEastAsia" w:hAnsiTheme="minorEastAsia" w:hint="eastAsia"/>
          <w:sz w:val="24"/>
        </w:rPr>
        <w:t>馈赠礼仪：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•选择、赠送礼品的</w:t>
      </w:r>
      <w:r>
        <w:rPr>
          <w:rFonts w:asciiTheme="minorEastAsia" w:hAnsiTheme="minorEastAsia" w:hint="eastAsia"/>
          <w:sz w:val="24"/>
        </w:rPr>
        <w:t>5W1H</w:t>
      </w:r>
      <w:r>
        <w:rPr>
          <w:rFonts w:asciiTheme="minorEastAsia" w:hAnsiTheme="minorEastAsia" w:hint="eastAsia"/>
          <w:sz w:val="24"/>
        </w:rPr>
        <w:t>规划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•送礼技巧分享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•送礼七大“潜规则”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四、餐宴礼仪与酒桌文化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中餐礼仪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1)</w:t>
      </w:r>
      <w:r>
        <w:rPr>
          <w:rFonts w:asciiTheme="minorEastAsia" w:hAnsiTheme="minorEastAsia" w:hint="eastAsia"/>
          <w:sz w:val="24"/>
        </w:rPr>
        <w:t>中餐礼仪简介——你在品味食物，别人在品味你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2)</w:t>
      </w:r>
      <w:r>
        <w:rPr>
          <w:rFonts w:asciiTheme="minorEastAsia" w:hAnsiTheme="minorEastAsia" w:hint="eastAsia"/>
          <w:sz w:val="24"/>
        </w:rPr>
        <w:t>商务宴请的程序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•确定宴请对象、规格和范围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•确定宴请时间、地点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•邀请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•订菜：喜好与禁忌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原则与技巧</w:t>
      </w:r>
      <w:r>
        <w:rPr>
          <w:rFonts w:asciiTheme="minorEastAsia" w:hAnsiTheme="minorEastAsia" w:hint="eastAsia"/>
          <w:sz w:val="24"/>
        </w:rPr>
        <w:t xml:space="preserve"> /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•席位安排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现场布置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3)</w:t>
      </w:r>
      <w:r>
        <w:rPr>
          <w:rFonts w:asciiTheme="minorEastAsia" w:hAnsiTheme="minorEastAsia" w:hint="eastAsia"/>
          <w:sz w:val="24"/>
        </w:rPr>
        <w:t>商务宴请技巧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•致辞：欢迎辞、答谢辞、祝酒辞、欢送</w:t>
      </w:r>
      <w:proofErr w:type="gramStart"/>
      <w:r>
        <w:rPr>
          <w:rFonts w:asciiTheme="minorEastAsia" w:hAnsiTheme="minorEastAsia" w:hint="eastAsia"/>
          <w:sz w:val="24"/>
        </w:rPr>
        <w:t>辞</w:t>
      </w:r>
      <w:proofErr w:type="gramEnd"/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•如何敬酒、劝酒、拒酒、挡酒？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【案例分享】张大千幽默劝酒梅兰芳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•如何调节席间气氛？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【讨论分享】酒桌常用话术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【性格分析】不同类型人的喝酒风格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•酒席不倒翁——让你酒量倍增的技巧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【头脑风暴】酒桌上的潜规则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4)</w:t>
      </w:r>
      <w:r>
        <w:rPr>
          <w:rFonts w:asciiTheme="minorEastAsia" w:hAnsiTheme="minorEastAsia" w:hint="eastAsia"/>
          <w:sz w:val="24"/>
        </w:rPr>
        <w:t>如何达成宴请的主要目的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西餐礼仪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•西餐饮食特点及文化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•西餐着装要求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•西餐席位的排列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•西餐上菜的顺序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【专业解读】品咖啡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•西餐餐巾的使用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•西餐餐具与用法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•西餐礼仪细节与禁忌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•美酒配佳肴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【专业解读】品尝红酒四步曲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【现场演练】拿杯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敬酒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品酒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【综合演练】优雅吃西餐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自助餐礼仪简介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五、礼仪素养提升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内强素质，外塑形象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内修于心，外化于形——让礼仪成为我们源自心灵的呼唤！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六、沟通的基本问题：心态——言为心声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积极的心态——消极的心态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欣赏的心态——鄙视的心态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感恩的心态——理所当然的心态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>双赢的心态——独赢的心态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七、</w:t>
      </w:r>
      <w:proofErr w:type="gramStart"/>
      <w:r>
        <w:rPr>
          <w:rFonts w:asciiTheme="minorEastAsia" w:hAnsiTheme="minorEastAsia" w:hint="eastAsia"/>
          <w:b/>
          <w:sz w:val="24"/>
        </w:rPr>
        <w:t>职场沟通</w:t>
      </w:r>
      <w:proofErr w:type="gramEnd"/>
      <w:r>
        <w:rPr>
          <w:rFonts w:asciiTheme="minorEastAsia" w:hAnsiTheme="minorEastAsia" w:hint="eastAsia"/>
          <w:b/>
          <w:sz w:val="24"/>
        </w:rPr>
        <w:t>的基本技巧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沟通三要素：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•声音是人类交流中最有力的武器——不要忽略语音、语速、语调和音量的训练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•表情训练：我的笑容价值百万美金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眼睛如同我们的舌头一样能表达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【互动训练】空姐的</w:t>
      </w:r>
      <w:r>
        <w:rPr>
          <w:rFonts w:asciiTheme="minorEastAsia" w:hAnsiTheme="minorEastAsia" w:hint="eastAsia"/>
          <w:sz w:val="24"/>
        </w:rPr>
        <w:t>12</w:t>
      </w:r>
      <w:r>
        <w:rPr>
          <w:rFonts w:asciiTheme="minorEastAsia" w:hAnsiTheme="minorEastAsia" w:hint="eastAsia"/>
          <w:sz w:val="24"/>
        </w:rPr>
        <w:t>次微笑换来的谢谢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【情景录像】推销之神原一平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•肢体语言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【问题探讨】如何借助肢体语言更好的表达自己？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沟通前的准备工作——预则立，不预则废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•沟通对象的分析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•明确沟通的目的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•达成目的所需采用的方法或者预案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•相关资料的收集或道具的准备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【案例分析】与市场部王经理的绩效工作谈话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八、因人而异的沟通风格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人的四种性格类型及其对应的沟通</w:t>
      </w:r>
      <w:r>
        <w:rPr>
          <w:rFonts w:asciiTheme="minorEastAsia" w:hAnsiTheme="minorEastAsia" w:hint="eastAsia"/>
          <w:sz w:val="24"/>
        </w:rPr>
        <w:t>风格：老虎型、孔雀型、猫头鹰型和考拉型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•自我测试：认识自己的沟通风格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•分析、判断、了解交往对象的沟通风格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【问题探讨】如何快速判断他人的沟通风格，让初次交往变得顺畅？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了解并理解四种不同沟通风格的优势和劣势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>“为什么乔林生的热情会遭到冷遇”？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如何在沟通方面扬长补短，完善自我？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【问题探讨】如果你有一个老虎型的上司，你该怎样做下属？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【问题探讨】如果你是一个猫头鹰型的营销人员，你该从哪些方面修炼自我？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>如何与不同沟通风格的人友好相处并与之进行有效沟通？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【案例分析】华为公司强调和客户结成“不打领带的关系”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【情景录像】酒桌看人，准确快速，从容应对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2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九、有效组织沟通技巧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影响办公室人际关系的</w:t>
      </w:r>
      <w:proofErr w:type="gramStart"/>
      <w:r>
        <w:rPr>
          <w:rFonts w:asciiTheme="minorEastAsia" w:hAnsiTheme="minorEastAsia" w:hint="eastAsia"/>
          <w:sz w:val="24"/>
        </w:rPr>
        <w:t>“</w:t>
      </w:r>
      <w:proofErr w:type="gramEnd"/>
      <w:r>
        <w:rPr>
          <w:rFonts w:asciiTheme="minorEastAsia" w:hAnsiTheme="minorEastAsia" w:hint="eastAsia"/>
          <w:sz w:val="24"/>
        </w:rPr>
        <w:t>十小节“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proofErr w:type="gramStart"/>
      <w:r>
        <w:rPr>
          <w:rFonts w:asciiTheme="minorEastAsia" w:hAnsiTheme="minorEastAsia" w:hint="eastAsia"/>
          <w:sz w:val="24"/>
        </w:rPr>
        <w:t>职场沟通</w:t>
      </w:r>
      <w:proofErr w:type="gramEnd"/>
      <w:r>
        <w:rPr>
          <w:rFonts w:asciiTheme="minorEastAsia" w:hAnsiTheme="minorEastAsia" w:hint="eastAsia"/>
          <w:sz w:val="24"/>
        </w:rPr>
        <w:t>，尊重为本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•尊重领导是天职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•尊重下属是美德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•尊重同事是本分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•尊重客户是常识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与各层级沟通的基本方式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•上行——理解为主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•下行——说服为先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•横向——协调为上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•斜向——借权为用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>与上司沟通的礼仪与技巧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•与上司有效沟通的价值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•先理解上司的不理解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•与上司相处的四个原则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【情景演练】如何接受上司指示？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•与上司和谐相处的五问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•工作汇报礼仪与技巧：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哪些工作</w:t>
      </w:r>
      <w:proofErr w:type="gramStart"/>
      <w:r>
        <w:rPr>
          <w:rFonts w:asciiTheme="minorEastAsia" w:hAnsiTheme="minorEastAsia" w:hint="eastAsia"/>
          <w:sz w:val="24"/>
        </w:rPr>
        <w:t>需要汇报</w:t>
      </w:r>
      <w:proofErr w:type="gramEnd"/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汇报前的准备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口头汇报与书面汇报</w:t>
      </w:r>
      <w:r>
        <w:rPr>
          <w:rFonts w:asciiTheme="minorEastAsia" w:hAnsiTheme="minorEastAsia" w:hint="eastAsia"/>
          <w:sz w:val="24"/>
        </w:rPr>
        <w:t xml:space="preserve"> / </w:t>
      </w:r>
      <w:r>
        <w:rPr>
          <w:rFonts w:asciiTheme="minorEastAsia" w:hAnsiTheme="minorEastAsia" w:hint="eastAsia"/>
          <w:sz w:val="24"/>
        </w:rPr>
        <w:t>面对不同管理风格的领导如何汇报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十、有效客户沟通技巧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认识你的客户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•谁是你的客户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•内部客户与外部客户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认识服务沟通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•什么是服务沟通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•研讨：服务沟通能力对于个人和企业的长远意义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【案例分析】丽思</w:t>
      </w:r>
      <w:r>
        <w:rPr>
          <w:rFonts w:asciiTheme="minorEastAsia" w:hAnsiTheme="minorEastAsia" w:hint="eastAsia"/>
          <w:sz w:val="24"/>
        </w:rPr>
        <w:t>.</w:t>
      </w:r>
      <w:r>
        <w:rPr>
          <w:rFonts w:asciiTheme="minorEastAsia" w:hAnsiTheme="minorEastAsia" w:hint="eastAsia"/>
          <w:sz w:val="24"/>
        </w:rPr>
        <w:t>卡尔</w:t>
      </w:r>
      <w:proofErr w:type="gramStart"/>
      <w:r>
        <w:rPr>
          <w:rFonts w:asciiTheme="minorEastAsia" w:hAnsiTheme="minorEastAsia" w:hint="eastAsia"/>
          <w:sz w:val="24"/>
        </w:rPr>
        <w:t>顿酒店</w:t>
      </w:r>
      <w:proofErr w:type="gramEnd"/>
      <w:r>
        <w:rPr>
          <w:rFonts w:asciiTheme="minorEastAsia" w:hAnsiTheme="minorEastAsia" w:hint="eastAsia"/>
          <w:sz w:val="24"/>
        </w:rPr>
        <w:t>集团的客户服务理念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学会倾听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•不要让舌头超越思想——先学会听，再学会说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【案例分析】卡耐基的纽约晚宴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•如何提升倾听的能力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【互动游戏】区分不同表现的听的习惯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>适时提问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•如何运用开放式与封闭式问题与客户高效沟通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•如何运用征询性与服务性问题提升客户满意度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【互动游戏】她到底在想什么？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【情景演练】如何运用提问的技巧与投诉的客户进行沟通？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>
        <w:rPr>
          <w:rFonts w:asciiTheme="minorEastAsia" w:hAnsiTheme="minorEastAsia" w:hint="eastAsia"/>
          <w:sz w:val="24"/>
        </w:rPr>
        <w:t>善于表达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•人际表达三准则——别人在乎你说什么，更在乎你怎么说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【情景录像】不同的说法，截然不同的结果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•你喜欢我，我就喜欢你——人际相吸引的原则：喜爱并赞扬别人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【案例分析】卡耐基教你如何赞美他人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•学会</w:t>
      </w:r>
      <w:proofErr w:type="gramStart"/>
      <w:r>
        <w:rPr>
          <w:rFonts w:asciiTheme="minorEastAsia" w:hAnsiTheme="minorEastAsia" w:hint="eastAsia"/>
          <w:sz w:val="24"/>
        </w:rPr>
        <w:t>寒喧片刻——</w:t>
      </w:r>
      <w:proofErr w:type="gramEnd"/>
      <w:r>
        <w:rPr>
          <w:rFonts w:asciiTheme="minorEastAsia" w:hAnsiTheme="minorEastAsia" w:hint="eastAsia"/>
          <w:sz w:val="24"/>
        </w:rPr>
        <w:t>闲聊而不无聊</w:t>
      </w:r>
      <w:r>
        <w:rPr>
          <w:rFonts w:asciiTheme="minorEastAsia" w:hAnsiTheme="minorEastAsia" w:hint="eastAsia"/>
          <w:sz w:val="24"/>
        </w:rPr>
        <w:t xml:space="preserve"> 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•公众讲话——引人注目的最好时刻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【情景演练】如果这一生真要出人投地，一定要学会沟通，特别是面向很多人讲话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6.</w:t>
      </w:r>
      <w:r>
        <w:rPr>
          <w:rFonts w:asciiTheme="minorEastAsia" w:hAnsiTheme="minorEastAsia" w:hint="eastAsia"/>
          <w:sz w:val="24"/>
        </w:rPr>
        <w:t>如何说服客户——</w:t>
      </w:r>
      <w:r>
        <w:rPr>
          <w:rFonts w:asciiTheme="minorEastAsia" w:hAnsiTheme="minorEastAsia" w:hint="eastAsia"/>
          <w:sz w:val="24"/>
        </w:rPr>
        <w:t>FAB</w:t>
      </w:r>
      <w:r>
        <w:rPr>
          <w:rFonts w:asciiTheme="minorEastAsia" w:hAnsiTheme="minorEastAsia" w:hint="eastAsia"/>
          <w:sz w:val="24"/>
        </w:rPr>
        <w:t>法则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•知已知彼，百战百胜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【案例分析】招商</w:t>
      </w:r>
      <w:proofErr w:type="gramStart"/>
      <w:r>
        <w:rPr>
          <w:rFonts w:asciiTheme="minorEastAsia" w:hAnsiTheme="minorEastAsia" w:hint="eastAsia"/>
          <w:sz w:val="24"/>
        </w:rPr>
        <w:t>银行马蔚</w:t>
      </w:r>
      <w:proofErr w:type="gramEnd"/>
      <w:r>
        <w:rPr>
          <w:rFonts w:asciiTheme="minorEastAsia" w:hAnsiTheme="minorEastAsia" w:hint="eastAsia"/>
          <w:sz w:val="24"/>
        </w:rPr>
        <w:t>华对员工的要求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•</w:t>
      </w:r>
      <w:r>
        <w:rPr>
          <w:rFonts w:asciiTheme="minorEastAsia" w:hAnsiTheme="minorEastAsia" w:hint="eastAsia"/>
          <w:sz w:val="24"/>
        </w:rPr>
        <w:t>FAB</w:t>
      </w:r>
      <w:r>
        <w:rPr>
          <w:rFonts w:asciiTheme="minorEastAsia" w:hAnsiTheme="minorEastAsia" w:hint="eastAsia"/>
          <w:sz w:val="24"/>
        </w:rPr>
        <w:t>法则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【问题探讨】猫和鱼的故事</w:t>
      </w:r>
    </w:p>
    <w:p w:rsidR="00B90080" w:rsidRDefault="00ED7942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【情景演练】工作场景模拟演练</w:t>
      </w:r>
    </w:p>
    <w:p w:rsidR="00B90080" w:rsidRDefault="00B90080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90080" w:rsidRDefault="00B90080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90080" w:rsidRDefault="00B90080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90080" w:rsidRDefault="00B90080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90080" w:rsidRDefault="00ED794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主讲老师：高丽</w:t>
      </w:r>
    </w:p>
    <w:p w:rsidR="00B90080" w:rsidRDefault="00B90080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华中师范大学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教育学硕士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全国专业人才委员会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礼仪委员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国家高等学校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骨干教师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国家高级礼仪培训师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国家高级礼仪礼宾师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国家高级礼仪主持人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国家二级心理咨询师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国家二级职业指导师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普通话国家一级乙等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中信银行总行培训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特约讲师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多家企业礼仪顾问和首席培训师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高老师从事培训服务工作已逾</w:t>
      </w:r>
      <w:r>
        <w:rPr>
          <w:rFonts w:asciiTheme="minorEastAsia" w:hAnsiTheme="minorEastAsia" w:cs="Calibri" w:hint="eastAsia"/>
          <w:sz w:val="24"/>
        </w:rPr>
        <w:t>10</w:t>
      </w:r>
      <w:r>
        <w:rPr>
          <w:rFonts w:asciiTheme="minorEastAsia" w:hAnsiTheme="minorEastAsia" w:cs="Calibri" w:hint="eastAsia"/>
          <w:sz w:val="24"/>
        </w:rPr>
        <w:t>年，曾担任电台主持人，心理咨询师等工作，现任某高校专职礼仪教师。专注于企事业单位尤其是银行、保险、通讯、酒店等行业的服务技巧、礼仪实操、员工职业素养的研究和培训，在多年的工作实践中积累了丰富实用的培训经验，形成了独特的培训视角与授课风格，体验式培训模式与落地战略，深得业界青睐与好评。</w:t>
      </w:r>
    </w:p>
    <w:p w:rsidR="00B90080" w:rsidRDefault="00ED7942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授课风格</w:t>
      </w:r>
      <w:r>
        <w:rPr>
          <w:rFonts w:asciiTheme="minorEastAsia" w:hAnsiTheme="minorEastAsia" w:cs="Calibri" w:hint="eastAsia"/>
          <w:b/>
          <w:sz w:val="24"/>
        </w:rPr>
        <w:t>: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授课富有激情，语言幽默风趣、亲和力强，拥有深厚的专业知识和丰富的实战经验。善于引导学员通过实际案例来加深对培训内容的理解和掌握。将心理学与企业培训有效整合为体验式训练，大量采用游戏、情</w:t>
      </w:r>
      <w:r>
        <w:rPr>
          <w:rFonts w:asciiTheme="minorEastAsia" w:hAnsiTheme="minorEastAsia" w:cs="Calibri" w:hint="eastAsia"/>
          <w:sz w:val="24"/>
        </w:rPr>
        <w:t>景再现、案例模拟及讨论等方式，使得课程的实用性更强，学员的掌握程度更深。</w:t>
      </w:r>
    </w:p>
    <w:p w:rsidR="00B90080" w:rsidRDefault="00ED7942">
      <w:pPr>
        <w:spacing w:line="440" w:lineRule="exact"/>
        <w:ind w:firstLineChars="200" w:firstLine="482"/>
        <w:rPr>
          <w:rFonts w:asciiTheme="minorEastAsia" w:hAnsiTheme="minorEastAsia" w:cs="Calibri"/>
          <w:b/>
          <w:sz w:val="24"/>
        </w:rPr>
      </w:pPr>
      <w:r>
        <w:rPr>
          <w:rFonts w:asciiTheme="minorEastAsia" w:hAnsiTheme="minorEastAsia" w:cs="Calibri" w:hint="eastAsia"/>
          <w:b/>
          <w:sz w:val="24"/>
        </w:rPr>
        <w:t>主讲课程</w:t>
      </w:r>
      <w:r>
        <w:rPr>
          <w:rFonts w:asciiTheme="minorEastAsia" w:hAnsiTheme="minorEastAsia" w:cs="Calibri" w:hint="eastAsia"/>
          <w:b/>
          <w:sz w:val="24"/>
        </w:rPr>
        <w:t>: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《银行全员培训》《银行服务手语培训》《优质客户服务与服务礼仪规范》《银行柜面服务礼仪及规范流程》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《银行通用服务礼仪规范》《大堂经理服务流程与现场管理》《客户经理服务流程规范与营销技巧》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《客户投诉与沟通技巧》《金融行业商务礼仪规范》《标杆网点建设现场辅导》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《银行内训师授课技能》（实战精华版）《全阶</w:t>
      </w:r>
      <w:r>
        <w:rPr>
          <w:rFonts w:asciiTheme="minorEastAsia" w:hAnsiTheme="minorEastAsia" w:cs="Calibri" w:hint="eastAsia"/>
          <w:sz w:val="24"/>
        </w:rPr>
        <w:t>TTT</w:t>
      </w:r>
      <w:r>
        <w:rPr>
          <w:rFonts w:asciiTheme="minorEastAsia" w:hAnsiTheme="minorEastAsia" w:cs="Calibri" w:hint="eastAsia"/>
          <w:sz w:val="24"/>
        </w:rPr>
        <w:t>精品课程》《服务礼仪规范与实操》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lastRenderedPageBreak/>
        <w:t>《酒店优质服务实战技巧》《酒店商务礼仪培训》《职业形象与商务礼仪》《团队管理与建设》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《打造优质团队》《服务意识培养》《阳光心态塑造》《电力公司职业心态塑造》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《供电公司投诉管理》《消费者心理分析》《化妆技巧与形体训练》《商务接待礼仪》等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部分服务客户</w:t>
      </w:r>
      <w:r>
        <w:rPr>
          <w:rFonts w:asciiTheme="minorEastAsia" w:hAnsiTheme="minorEastAsia" w:cs="Calibri" w:hint="eastAsia"/>
          <w:sz w:val="24"/>
        </w:rPr>
        <w:t>: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（银行）中国农业银行安徽省分行、中国工商银行荆州分行、中国工商银行恩施分行、中国农业银行随州分行、中信银行兰州分行、中信银行杭州分行、中信银行太原分行、中国建设银行义乌分行、中国建设银行成都分行、中国银行南京分行、中国邮政储蓄银行绵阳分行、湖南省农村信用社、南京市紫金农商银行、温州市永嘉农商银行、云南曲靖农商行、湖北江陵农商行、民生银行长</w:t>
      </w:r>
      <w:r>
        <w:rPr>
          <w:rFonts w:asciiTheme="minorEastAsia" w:hAnsiTheme="minorEastAsia" w:cs="Calibri" w:hint="eastAsia"/>
          <w:sz w:val="24"/>
        </w:rPr>
        <w:t>春分行、汉口银行、台州银行、四川省邮政管理局等。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（航空）南方航空、东方航空等。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（保险）中国人</w:t>
      </w:r>
      <w:proofErr w:type="gramStart"/>
      <w:r>
        <w:rPr>
          <w:rFonts w:asciiTheme="minorEastAsia" w:hAnsiTheme="minorEastAsia" w:cs="Calibri" w:hint="eastAsia"/>
          <w:sz w:val="24"/>
        </w:rPr>
        <w:t>寿财产</w:t>
      </w:r>
      <w:proofErr w:type="gramEnd"/>
      <w:r>
        <w:rPr>
          <w:rFonts w:asciiTheme="minorEastAsia" w:hAnsiTheme="minorEastAsia" w:cs="Calibri" w:hint="eastAsia"/>
          <w:sz w:val="24"/>
        </w:rPr>
        <w:t>保险股份有限公司北京市分公司、中国平安财产保险股份有限公司贵州分公司、信诚人寿保险有限公司等。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（通信）中国电信安徽公司、湖北联通咸宁分公司、湖北联通孝感分公司等。　　（酒店）北京市中国职工之家（隶属全国总工会、四星）、江苏省宿迁市恒力国际饭店（五星）、江苏省常州市富</w:t>
      </w:r>
      <w:proofErr w:type="gramStart"/>
      <w:r>
        <w:rPr>
          <w:rFonts w:asciiTheme="minorEastAsia" w:hAnsiTheme="minorEastAsia" w:cs="Calibri" w:hint="eastAsia"/>
          <w:sz w:val="24"/>
        </w:rPr>
        <w:t>都盛贸饭店</w:t>
      </w:r>
      <w:proofErr w:type="gramEnd"/>
      <w:r>
        <w:rPr>
          <w:rFonts w:asciiTheme="minorEastAsia" w:hAnsiTheme="minorEastAsia" w:cs="Calibri" w:hint="eastAsia"/>
          <w:sz w:val="24"/>
        </w:rPr>
        <w:t>（五星）等。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（电力）湖北武汉供电公司、国</w:t>
      </w:r>
      <w:proofErr w:type="gramStart"/>
      <w:r>
        <w:rPr>
          <w:rFonts w:asciiTheme="minorEastAsia" w:hAnsiTheme="minorEastAsia" w:cs="Calibri" w:hint="eastAsia"/>
          <w:sz w:val="24"/>
        </w:rPr>
        <w:t>投钦电</w:t>
      </w:r>
      <w:proofErr w:type="gramEnd"/>
      <w:r>
        <w:rPr>
          <w:rFonts w:asciiTheme="minorEastAsia" w:hAnsiTheme="minorEastAsia" w:cs="Calibri" w:hint="eastAsia"/>
          <w:sz w:val="24"/>
        </w:rPr>
        <w:t>发电有限公司、国家电网咸宁供电公司等。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（景区）宜昌三峡人家风景区（</w:t>
      </w:r>
      <w:r>
        <w:rPr>
          <w:rFonts w:asciiTheme="minorEastAsia" w:hAnsiTheme="minorEastAsia" w:cs="Calibri" w:hint="eastAsia"/>
          <w:sz w:val="24"/>
        </w:rPr>
        <w:t>5A</w:t>
      </w:r>
      <w:r>
        <w:rPr>
          <w:rFonts w:asciiTheme="minorEastAsia" w:hAnsiTheme="minorEastAsia" w:cs="Calibri" w:hint="eastAsia"/>
          <w:sz w:val="24"/>
        </w:rPr>
        <w:t>）、黄鹤楼景</w:t>
      </w:r>
      <w:r>
        <w:rPr>
          <w:rFonts w:asciiTheme="minorEastAsia" w:hAnsiTheme="minorEastAsia" w:cs="Calibri" w:hint="eastAsia"/>
          <w:sz w:val="24"/>
        </w:rPr>
        <w:t>区（</w:t>
      </w:r>
      <w:r>
        <w:rPr>
          <w:rFonts w:asciiTheme="minorEastAsia" w:hAnsiTheme="minorEastAsia" w:cs="Calibri" w:hint="eastAsia"/>
          <w:sz w:val="24"/>
        </w:rPr>
        <w:t>5A</w:t>
      </w:r>
      <w:r>
        <w:rPr>
          <w:rFonts w:asciiTheme="minorEastAsia" w:hAnsiTheme="minorEastAsia" w:cs="Calibri" w:hint="eastAsia"/>
          <w:sz w:val="24"/>
        </w:rPr>
        <w:t>）、黄陂木兰山景区（</w:t>
      </w:r>
      <w:r>
        <w:rPr>
          <w:rFonts w:asciiTheme="minorEastAsia" w:hAnsiTheme="minorEastAsia" w:cs="Calibri" w:hint="eastAsia"/>
          <w:sz w:val="24"/>
        </w:rPr>
        <w:t>4A</w:t>
      </w:r>
      <w:r>
        <w:rPr>
          <w:rFonts w:asciiTheme="minorEastAsia" w:hAnsiTheme="minorEastAsia" w:cs="Calibri" w:hint="eastAsia"/>
          <w:sz w:val="24"/>
        </w:rPr>
        <w:t>）、三国赤壁古战场（</w:t>
      </w:r>
      <w:r>
        <w:rPr>
          <w:rFonts w:asciiTheme="minorEastAsia" w:hAnsiTheme="minorEastAsia" w:cs="Calibri" w:hint="eastAsia"/>
          <w:sz w:val="24"/>
        </w:rPr>
        <w:t>4A</w:t>
      </w:r>
      <w:r>
        <w:rPr>
          <w:rFonts w:asciiTheme="minorEastAsia" w:hAnsiTheme="minorEastAsia" w:cs="Calibri" w:hint="eastAsia"/>
          <w:sz w:val="24"/>
        </w:rPr>
        <w:t>）、潜山国家森林公园景区（</w:t>
      </w:r>
      <w:r>
        <w:rPr>
          <w:rFonts w:asciiTheme="minorEastAsia" w:hAnsiTheme="minorEastAsia" w:cs="Calibri" w:hint="eastAsia"/>
          <w:sz w:val="24"/>
        </w:rPr>
        <w:t>4A</w:t>
      </w:r>
      <w:r>
        <w:rPr>
          <w:rFonts w:asciiTheme="minorEastAsia" w:hAnsiTheme="minorEastAsia" w:cs="Calibri" w:hint="eastAsia"/>
          <w:sz w:val="24"/>
        </w:rPr>
        <w:t>）、一三一军事工程景区（</w:t>
      </w:r>
      <w:r>
        <w:rPr>
          <w:rFonts w:asciiTheme="minorEastAsia" w:hAnsiTheme="minorEastAsia" w:cs="Calibri" w:hint="eastAsia"/>
          <w:sz w:val="24"/>
        </w:rPr>
        <w:t>3A</w:t>
      </w:r>
      <w:r>
        <w:rPr>
          <w:rFonts w:asciiTheme="minorEastAsia" w:hAnsiTheme="minorEastAsia" w:cs="Calibri" w:hint="eastAsia"/>
          <w:sz w:val="24"/>
        </w:rPr>
        <w:t>）、</w:t>
      </w:r>
      <w:proofErr w:type="gramStart"/>
      <w:r>
        <w:rPr>
          <w:rFonts w:asciiTheme="minorEastAsia" w:hAnsiTheme="minorEastAsia" w:cs="Calibri" w:hint="eastAsia"/>
          <w:sz w:val="24"/>
        </w:rPr>
        <w:t>云漫湖国际</w:t>
      </w:r>
      <w:proofErr w:type="gramEnd"/>
      <w:r>
        <w:rPr>
          <w:rFonts w:asciiTheme="minorEastAsia" w:hAnsiTheme="minorEastAsia" w:cs="Calibri" w:hint="eastAsia"/>
          <w:sz w:val="24"/>
        </w:rPr>
        <w:t>休闲旅游度假区、通山引水洞风景区、龟峰山风景区、羊楼洞景区等。</w:t>
      </w:r>
    </w:p>
    <w:p w:rsidR="00B90080" w:rsidRDefault="00ED7942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（其他）湖北康辉国际旅游社、湖北三江旅游发展有限公司、郑州铁路局动车段、湖北恒信众和汽车销售服务有限公司、中共咸宁市委党校、中共咸宁市接待办等。</w:t>
      </w:r>
    </w:p>
    <w:p w:rsidR="00B90080" w:rsidRDefault="00B90080">
      <w:pPr>
        <w:spacing w:line="440" w:lineRule="exact"/>
        <w:ind w:firstLineChars="200" w:firstLine="420"/>
        <w:rPr>
          <w:szCs w:val="21"/>
        </w:rPr>
      </w:pPr>
    </w:p>
    <w:p w:rsidR="00B90080" w:rsidRDefault="00ED794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报名回执</w:t>
      </w:r>
    </w:p>
    <w:p w:rsidR="00B90080" w:rsidRDefault="00B90080">
      <w:pPr>
        <w:spacing w:line="540" w:lineRule="exact"/>
        <w:jc w:val="left"/>
        <w:rPr>
          <w:rFonts w:asciiTheme="minorEastAsia" w:hAnsiTheme="minorEastAsia" w:cstheme="minorEastAsia"/>
          <w:bCs/>
          <w:sz w:val="24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321"/>
        <w:gridCol w:w="1644"/>
        <w:gridCol w:w="840"/>
        <w:gridCol w:w="418"/>
        <w:gridCol w:w="923"/>
        <w:gridCol w:w="442"/>
        <w:gridCol w:w="299"/>
        <w:gridCol w:w="2972"/>
      </w:tblGrid>
      <w:tr w:rsidR="00B9008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课程名称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上课时间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上课地点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公司名称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Cs/>
                <w:color w:val="404040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404040"/>
                <w:szCs w:val="21"/>
              </w:rPr>
              <w:t>（发票抬头）</w:t>
            </w:r>
          </w:p>
        </w:tc>
      </w:tr>
      <w:tr w:rsidR="00B9008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系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人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部门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/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lastRenderedPageBreak/>
              <w:t>联系电话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手机号码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4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电子邮箱（接收开课通知书，非常重要）</w:t>
            </w:r>
          </w:p>
        </w:tc>
        <w:tc>
          <w:tcPr>
            <w:tcW w:w="5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参会学员姓名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性别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&amp;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Email</w:t>
            </w:r>
          </w:p>
        </w:tc>
      </w:tr>
      <w:tr w:rsidR="00B9008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90080">
        <w:trPr>
          <w:trHeight w:val="545"/>
          <w:jc w:val="center"/>
        </w:trPr>
        <w:tc>
          <w:tcPr>
            <w:tcW w:w="9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440" w:lineRule="exact"/>
              <w:rPr>
                <w:rFonts w:ascii="微软雅黑" w:eastAsia="微软雅黑" w:hAnsi="微软雅黑"/>
                <w:bCs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参会人数：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人，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费用合计：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元；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付款方式：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proofErr w:type="gramStart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>转帐</w:t>
            </w:r>
            <w:proofErr w:type="gramEnd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>现金</w:t>
            </w:r>
          </w:p>
          <w:p w:rsidR="00B90080" w:rsidRDefault="00ED7942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发票类别：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增值税普通发票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 xml:space="preserve"> 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增值税专用发票（需提供一般纳税人开票资料）</w:t>
            </w:r>
          </w:p>
        </w:tc>
      </w:tr>
      <w:tr w:rsidR="00B90080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收款</w:t>
            </w:r>
            <w:proofErr w:type="gramStart"/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帐号</w:t>
            </w:r>
            <w:proofErr w:type="gramEnd"/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说明</w:t>
            </w:r>
          </w:p>
        </w:tc>
      </w:tr>
      <w:tr w:rsidR="00B90080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开户名：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广州蓝令企业管理</w:t>
            </w:r>
            <w:proofErr w:type="gramEnd"/>
            <w:r>
              <w:rPr>
                <w:rFonts w:ascii="微软雅黑" w:eastAsia="微软雅黑" w:hAnsi="微软雅黑" w:hint="eastAsia"/>
                <w:szCs w:val="21"/>
              </w:rPr>
              <w:t>咨询有限公司天河分公司</w:t>
            </w:r>
          </w:p>
          <w:p w:rsidR="00B90080" w:rsidRDefault="00ED7942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开户行：</w:t>
            </w:r>
            <w:r>
              <w:rPr>
                <w:rFonts w:ascii="微软雅黑" w:eastAsia="微软雅黑" w:hAnsi="微软雅黑" w:hint="eastAsia"/>
                <w:szCs w:val="21"/>
              </w:rPr>
              <w:t>中国农业银行股份有限公司广州员村二横路支行</w:t>
            </w:r>
          </w:p>
          <w:p w:rsidR="00B90080" w:rsidRDefault="00ED7942">
            <w:pPr>
              <w:spacing w:line="44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2"/>
                <w:szCs w:val="21"/>
              </w:rPr>
              <w:t>帐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号：</w:t>
            </w:r>
            <w:r>
              <w:rPr>
                <w:rFonts w:ascii="微软雅黑" w:eastAsia="微软雅黑" w:hAnsi="微软雅黑"/>
                <w:szCs w:val="21"/>
              </w:rPr>
              <w:t>4405 7801 0400 04783</w:t>
            </w:r>
          </w:p>
          <w:p w:rsidR="00B90080" w:rsidRDefault="00B90080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080" w:rsidRDefault="00ED794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填写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完毕请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发邮件至：</w:t>
            </w:r>
          </w:p>
          <w:p w:rsidR="00B90080" w:rsidRDefault="00ED7942">
            <w:pPr>
              <w:pStyle w:val="2"/>
              <w:spacing w:beforeLines="18" w:before="56" w:line="360" w:lineRule="exact"/>
              <w:ind w:left="420" w:firstLineChars="0" w:firstLine="0"/>
              <w:rPr>
                <w:rFonts w:ascii="微软雅黑" w:eastAsia="微软雅黑" w:hAnsi="微软雅黑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sz w:val="20"/>
                <w:szCs w:val="20"/>
              </w:rPr>
              <w:t>zw@learningconsult.cn</w:t>
            </w:r>
          </w:p>
          <w:p w:rsidR="00B90080" w:rsidRDefault="00ED794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我们将在开课前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7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天向您发送《开课通知书》；</w:t>
            </w:r>
          </w:p>
          <w:p w:rsidR="00B90080" w:rsidRDefault="00ED794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请于开课前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个工作日内将培训费用汇至我司指定收款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</w:p>
          <w:p w:rsidR="00B90080" w:rsidRDefault="00ED794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如需要开具</w:t>
            </w:r>
            <w:r>
              <w:rPr>
                <w:rFonts w:ascii="微软雅黑" w:eastAsia="微软雅黑" w:hAnsi="微软雅黑" w:hint="eastAsia"/>
                <w:sz w:val="20"/>
                <w:szCs w:val="20"/>
                <w:u w:val="single"/>
              </w:rPr>
              <w:t>增值税专用发票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，请提供如下开票信息：开票名称、纳税人识别号、地址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电话、开户行及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 xml:space="preserve"> </w:t>
            </w:r>
          </w:p>
          <w:p w:rsidR="00B90080" w:rsidRDefault="00B90080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</w:tbl>
    <w:p w:rsidR="00B90080" w:rsidRDefault="00B90080">
      <w:pPr>
        <w:spacing w:line="5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</w:p>
    <w:sectPr w:rsidR="00B90080">
      <w:headerReference w:type="default" r:id="rId8"/>
      <w:footerReference w:type="default" r:id="rId9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942" w:rsidRDefault="00ED7942">
      <w:r>
        <w:separator/>
      </w:r>
    </w:p>
  </w:endnote>
  <w:endnote w:type="continuationSeparator" w:id="0">
    <w:p w:rsidR="00ED7942" w:rsidRDefault="00ED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Malgun Gothic Semilight"/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080" w:rsidRDefault="00ED794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704850</wp:posOffset>
              </wp:positionH>
              <wp:positionV relativeFrom="paragraph">
                <wp:posOffset>97155</wp:posOffset>
              </wp:positionV>
              <wp:extent cx="4572000" cy="757555"/>
              <wp:effectExtent l="0" t="0" r="0" b="4445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7575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 w:rsidR="00B90080" w:rsidRDefault="00ED7942">
                          <w:pPr>
                            <w:jc w:val="center"/>
                            <w:rPr>
                              <w:rFonts w:ascii="微软雅黑" w:eastAsia="微软雅黑" w:hAnsi="微软雅黑" w:cs="微软雅黑"/>
                              <w:szCs w:val="21"/>
                            </w:rPr>
                          </w:pPr>
                          <w:proofErr w:type="gramStart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蓝令企业管理</w:t>
                          </w:r>
                          <w:proofErr w:type="gramEnd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咨询有限公司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5pt;margin-top:7.65pt;width:5in;height:5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" filled="f" stroked="f">
              <v:textbox>
                <w:txbxContent>
                  <w:p w:rsidR="00B90080" w:rsidRDefault="00ED7942">
                    <w:pPr>
                      <w:jc w:val="center"/>
                      <w:rPr>
                        <w:rFonts w:ascii="微软雅黑" w:eastAsia="微软雅黑" w:hAnsi="微软雅黑" w:cs="微软雅黑"/>
                        <w:szCs w:val="21"/>
                      </w:rPr>
                    </w:pPr>
                    <w:proofErr w:type="gramStart"/>
                    <w:r>
                      <w:rPr>
                        <w:rFonts w:hint="eastAsia"/>
                        <w:sz w:val="28"/>
                        <w:szCs w:val="28"/>
                      </w:rPr>
                      <w:t>蓝令企业管理</w:t>
                    </w:r>
                    <w:proofErr w:type="gramEnd"/>
                    <w:r>
                      <w:rPr>
                        <w:rFonts w:hint="eastAsia"/>
                        <w:sz w:val="28"/>
                        <w:szCs w:val="28"/>
                      </w:rPr>
                      <w:t>咨询有限公司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-1096010</wp:posOffset>
              </wp:positionH>
              <wp:positionV relativeFrom="paragraph">
                <wp:posOffset>569595</wp:posOffset>
              </wp:positionV>
              <wp:extent cx="7362825" cy="13335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282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54890D" id="Rectangle 5" o:spid="_x0000_s1026" style="position:absolute;left:0;text-align:left;margin-left:-86.3pt;margin-top:44.85pt;width:579.7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-401320</wp:posOffset>
              </wp:positionH>
              <wp:positionV relativeFrom="paragraph">
                <wp:posOffset>-154305</wp:posOffset>
              </wp:positionV>
              <wp:extent cx="6029325" cy="352425"/>
              <wp:effectExtent l="0" t="0" r="0" b="9525"/>
              <wp:wrapNone/>
              <wp:docPr id="4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3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119060" id="Rectangle 6" o:spid="_x0000_s1026" style="position:absolute;left:0;text-align:left;margin-left:-31.6pt;margin-top:-12.15pt;width:474.75pt;height:2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" filled="f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942" w:rsidRDefault="00ED7942">
      <w:r>
        <w:separator/>
      </w:r>
    </w:p>
  </w:footnote>
  <w:footnote w:type="continuationSeparator" w:id="0">
    <w:p w:rsidR="00ED7942" w:rsidRDefault="00ED7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080" w:rsidRDefault="00ED7942">
    <w:pPr>
      <w:pStyle w:val="a6"/>
      <w:pBdr>
        <w:bottom w:val="none" w:sz="0" w:space="0" w:color="auto"/>
      </w:pBdr>
      <w:bidi/>
      <w:ind w:rightChars="400" w:right="840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-425450</wp:posOffset>
          </wp:positionH>
          <wp:positionV relativeFrom="margin">
            <wp:posOffset>-619125</wp:posOffset>
          </wp:positionV>
          <wp:extent cx="1514475" cy="534035"/>
          <wp:effectExtent l="19050" t="0" r="9525" b="0"/>
          <wp:wrapSquare wrapText="bothSides"/>
          <wp:docPr id="1" name="图片 1" descr="D:\360云盘郭文志\LOGO\透底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360云盘郭文志\LOGO\透底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475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-838835</wp:posOffset>
              </wp:positionH>
              <wp:positionV relativeFrom="paragraph">
                <wp:posOffset>-303530</wp:posOffset>
              </wp:positionV>
              <wp:extent cx="6562725" cy="676275"/>
              <wp:effectExtent l="0" t="0" r="0" b="9525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27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940516" id="Rectangle 2" o:spid="_x0000_s1026" style="position:absolute;left:0;text-align:left;margin-left:-66.05pt;margin-top:-23.9pt;width:516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52C5C"/>
    <w:multiLevelType w:val="multilevel"/>
    <w:tmpl w:val="7DD52C5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83D"/>
    <w:rsid w:val="000236CD"/>
    <w:rsid w:val="00025AA9"/>
    <w:rsid w:val="00035BFF"/>
    <w:rsid w:val="00065C60"/>
    <w:rsid w:val="00086A1B"/>
    <w:rsid w:val="000C0EFB"/>
    <w:rsid w:val="00113777"/>
    <w:rsid w:val="00130CDD"/>
    <w:rsid w:val="00141DAD"/>
    <w:rsid w:val="00144D94"/>
    <w:rsid w:val="001B087B"/>
    <w:rsid w:val="001B2333"/>
    <w:rsid w:val="001C12C9"/>
    <w:rsid w:val="001D59DE"/>
    <w:rsid w:val="00204912"/>
    <w:rsid w:val="002154C3"/>
    <w:rsid w:val="00216F19"/>
    <w:rsid w:val="00223174"/>
    <w:rsid w:val="002733C4"/>
    <w:rsid w:val="0027675F"/>
    <w:rsid w:val="002773C2"/>
    <w:rsid w:val="00281C9B"/>
    <w:rsid w:val="00282DDB"/>
    <w:rsid w:val="00283A50"/>
    <w:rsid w:val="0029631F"/>
    <w:rsid w:val="002A4A3D"/>
    <w:rsid w:val="002B2141"/>
    <w:rsid w:val="002B432E"/>
    <w:rsid w:val="002B6A20"/>
    <w:rsid w:val="002C170E"/>
    <w:rsid w:val="002E7EA2"/>
    <w:rsid w:val="00324E74"/>
    <w:rsid w:val="00347A5F"/>
    <w:rsid w:val="00380FBE"/>
    <w:rsid w:val="00384128"/>
    <w:rsid w:val="00395146"/>
    <w:rsid w:val="00417954"/>
    <w:rsid w:val="004211A4"/>
    <w:rsid w:val="00427DA2"/>
    <w:rsid w:val="00431731"/>
    <w:rsid w:val="004462FD"/>
    <w:rsid w:val="004530E9"/>
    <w:rsid w:val="00463BC3"/>
    <w:rsid w:val="00485CEF"/>
    <w:rsid w:val="004A0C8E"/>
    <w:rsid w:val="004B3FAD"/>
    <w:rsid w:val="004B483D"/>
    <w:rsid w:val="004D3E27"/>
    <w:rsid w:val="004E4DD2"/>
    <w:rsid w:val="00514901"/>
    <w:rsid w:val="0051596A"/>
    <w:rsid w:val="00517277"/>
    <w:rsid w:val="00526122"/>
    <w:rsid w:val="00563929"/>
    <w:rsid w:val="005968F9"/>
    <w:rsid w:val="005A47D0"/>
    <w:rsid w:val="005E75C7"/>
    <w:rsid w:val="005F0D84"/>
    <w:rsid w:val="00634D71"/>
    <w:rsid w:val="006568A1"/>
    <w:rsid w:val="006668D8"/>
    <w:rsid w:val="006B4111"/>
    <w:rsid w:val="006D5B2C"/>
    <w:rsid w:val="006E46B9"/>
    <w:rsid w:val="006F7178"/>
    <w:rsid w:val="007138DC"/>
    <w:rsid w:val="007534CA"/>
    <w:rsid w:val="00755A85"/>
    <w:rsid w:val="007A4A04"/>
    <w:rsid w:val="007B68B9"/>
    <w:rsid w:val="007D2842"/>
    <w:rsid w:val="007F677E"/>
    <w:rsid w:val="00823687"/>
    <w:rsid w:val="008413A5"/>
    <w:rsid w:val="0086764C"/>
    <w:rsid w:val="008B7BCA"/>
    <w:rsid w:val="008C5842"/>
    <w:rsid w:val="008F6AA8"/>
    <w:rsid w:val="0090291D"/>
    <w:rsid w:val="00903A94"/>
    <w:rsid w:val="00997EA0"/>
    <w:rsid w:val="009A4921"/>
    <w:rsid w:val="009B7204"/>
    <w:rsid w:val="009E57B6"/>
    <w:rsid w:val="00A15819"/>
    <w:rsid w:val="00A15BC4"/>
    <w:rsid w:val="00A23EA7"/>
    <w:rsid w:val="00A628C7"/>
    <w:rsid w:val="00A62EEC"/>
    <w:rsid w:val="00A733B7"/>
    <w:rsid w:val="00A8343C"/>
    <w:rsid w:val="00A94E69"/>
    <w:rsid w:val="00AB43FB"/>
    <w:rsid w:val="00AC7ED1"/>
    <w:rsid w:val="00AF25B2"/>
    <w:rsid w:val="00B132BF"/>
    <w:rsid w:val="00B26E7D"/>
    <w:rsid w:val="00B545A7"/>
    <w:rsid w:val="00B718DC"/>
    <w:rsid w:val="00B90080"/>
    <w:rsid w:val="00BB4443"/>
    <w:rsid w:val="00BE3AF3"/>
    <w:rsid w:val="00BF266F"/>
    <w:rsid w:val="00C10008"/>
    <w:rsid w:val="00C17BA2"/>
    <w:rsid w:val="00C34DFC"/>
    <w:rsid w:val="00C36B8B"/>
    <w:rsid w:val="00C62077"/>
    <w:rsid w:val="00C707B9"/>
    <w:rsid w:val="00C715F0"/>
    <w:rsid w:val="00C84FCB"/>
    <w:rsid w:val="00CA024F"/>
    <w:rsid w:val="00CC3FCF"/>
    <w:rsid w:val="00CF6453"/>
    <w:rsid w:val="00D004CA"/>
    <w:rsid w:val="00D054E5"/>
    <w:rsid w:val="00D056E5"/>
    <w:rsid w:val="00D149EB"/>
    <w:rsid w:val="00D15FD7"/>
    <w:rsid w:val="00D63410"/>
    <w:rsid w:val="00D863E0"/>
    <w:rsid w:val="00D90381"/>
    <w:rsid w:val="00DC0EA3"/>
    <w:rsid w:val="00DD79C4"/>
    <w:rsid w:val="00DE2CF6"/>
    <w:rsid w:val="00DF09AE"/>
    <w:rsid w:val="00DF1A87"/>
    <w:rsid w:val="00E0213B"/>
    <w:rsid w:val="00E21301"/>
    <w:rsid w:val="00E2237A"/>
    <w:rsid w:val="00E3365F"/>
    <w:rsid w:val="00E55221"/>
    <w:rsid w:val="00E61581"/>
    <w:rsid w:val="00E71823"/>
    <w:rsid w:val="00E76493"/>
    <w:rsid w:val="00EA0EEC"/>
    <w:rsid w:val="00EB7374"/>
    <w:rsid w:val="00EC1C6C"/>
    <w:rsid w:val="00ED7942"/>
    <w:rsid w:val="00F30D0B"/>
    <w:rsid w:val="00F37370"/>
    <w:rsid w:val="00F45274"/>
    <w:rsid w:val="00F45DBC"/>
    <w:rsid w:val="00F6060F"/>
    <w:rsid w:val="00F6293C"/>
    <w:rsid w:val="00FA70C3"/>
    <w:rsid w:val="00FE0E7A"/>
    <w:rsid w:val="00FF5345"/>
    <w:rsid w:val="01331E45"/>
    <w:rsid w:val="09C05201"/>
    <w:rsid w:val="105000F8"/>
    <w:rsid w:val="13C86BE9"/>
    <w:rsid w:val="1807409F"/>
    <w:rsid w:val="184123F5"/>
    <w:rsid w:val="25CD7544"/>
    <w:rsid w:val="298B645C"/>
    <w:rsid w:val="29EB12F2"/>
    <w:rsid w:val="29EF3210"/>
    <w:rsid w:val="307820FC"/>
    <w:rsid w:val="384F5916"/>
    <w:rsid w:val="408B1CD0"/>
    <w:rsid w:val="411E1D16"/>
    <w:rsid w:val="49451AB7"/>
    <w:rsid w:val="50762A53"/>
    <w:rsid w:val="515C3FAB"/>
    <w:rsid w:val="52A9707A"/>
    <w:rsid w:val="562A7E09"/>
    <w:rsid w:val="7F87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3CA0B8"/>
  <w15:docId w15:val="{12CCB33E-A673-451A-A346-82D3DB8E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a7">
    <w:name w:val="Hyperlink"/>
    <w:basedOn w:val="a0"/>
    <w:rPr>
      <w:color w:val="5F5F5F" w:themeColor="hyperlink"/>
      <w:u w:val="single"/>
    </w:rPr>
  </w:style>
  <w:style w:type="paragraph" w:customStyle="1" w:styleId="1">
    <w:name w:val="列出段落1"/>
    <w:basedOn w:val="a"/>
    <w:uiPriority w:val="34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customStyle="1" w:styleId="2">
    <w:name w:val="列出段落2"/>
    <w:basedOn w:val="a"/>
    <w:pPr>
      <w:ind w:firstLineChars="200" w:firstLine="420"/>
    </w:pPr>
    <w:rPr>
      <w:rFonts w:ascii="Calibri" w:eastAsia="宋体" w:hAnsi="Calibri" w:cs="Times New Roman"/>
      <w:szCs w:val="22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a9">
    <w:name w:val="正文楷体"/>
    <w:basedOn w:val="a"/>
    <w:uiPriority w:val="99"/>
    <w:qFormat/>
    <w:pPr>
      <w:spacing w:line="300" w:lineRule="auto"/>
    </w:pPr>
    <w:rPr>
      <w:rFonts w:ascii="Arial" w:eastAsia="楷体_GB2312" w:hAnsi="Arial" w:cs="Times New Roman"/>
    </w:rPr>
  </w:style>
  <w:style w:type="paragraph" w:customStyle="1" w:styleId="l13">
    <w:name w:val="l13"/>
    <w:basedOn w:val="a"/>
    <w:uiPriority w:val="3"/>
    <w:qFormat/>
    <w:pPr>
      <w:widowControl/>
      <w:spacing w:before="100" w:beforeAutospacing="1" w:after="100" w:afterAutospacing="1" w:line="312" w:lineRule="auto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722</Words>
  <Characters>4121</Characters>
  <Application>Microsoft Office Word</Application>
  <DocSecurity>0</DocSecurity>
  <Lines>34</Lines>
  <Paragraphs>9</Paragraphs>
  <ScaleCrop>false</ScaleCrop>
  <Company>ITianKong.Com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杜建婷</dc:creator>
  <cp:lastModifiedBy>3397197035@qq.com</cp:lastModifiedBy>
  <cp:revision>3</cp:revision>
  <dcterms:created xsi:type="dcterms:W3CDTF">2018-11-23T01:08:00Z</dcterms:created>
  <dcterms:modified xsi:type="dcterms:W3CDTF">2019-01-16T01:55:00Z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