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6669405" cy="4161790"/>
            <wp:effectExtent l="0" t="0" r="17145" b="10160"/>
            <wp:docPr id="3" name="图片 3" descr="d62c15224a56f8afc676767b657c73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62c15224a56f8afc676767b657c73b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69405" cy="416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930B04"/>
          <w:spacing w:val="8"/>
          <w:sz w:val="30"/>
          <w:szCs w:val="30"/>
          <w:shd w:val="clear" w:fill="FFFFFF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930B04"/>
          <w:spacing w:val="8"/>
          <w:sz w:val="30"/>
          <w:szCs w:val="30"/>
          <w:shd w:val="clear" w:fill="FFFFFF"/>
        </w:rPr>
        <w:t>·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C5AB64"/>
          <w:spacing w:val="8"/>
          <w:sz w:val="30"/>
          <w:szCs w:val="30"/>
          <w:shd w:val="clear" w:fill="FFFFFF"/>
        </w:rPr>
        <w:t>观成败 鉴是非 知兴替 明规律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930B04"/>
          <w:spacing w:val="8"/>
          <w:sz w:val="30"/>
          <w:szCs w:val="30"/>
          <w:shd w:val="clear" w:fill="FFFFFF"/>
        </w:rPr>
        <w:t>·</w:t>
      </w:r>
    </w:p>
    <w:p>
      <w:pPr>
        <w:jc w:val="center"/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930B04"/>
          <w:spacing w:val="8"/>
          <w:sz w:val="30"/>
          <w:szCs w:val="30"/>
          <w:shd w:val="clear" w:fill="FFFFFF"/>
        </w:rPr>
      </w:pPr>
    </w:p>
    <w:p>
      <w:pPr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8"/>
          <w:sz w:val="22"/>
          <w:szCs w:val="22"/>
          <w:shd w:val="clear" w:fill="7B0C00"/>
        </w:rPr>
        <w:t>  引 言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shd w:val="clear" w:fill="FFFFFF"/>
        </w:rPr>
        <w:t>      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8"/>
          <w:sz w:val="22"/>
          <w:szCs w:val="22"/>
          <w:shd w:val="clear" w:fill="FFFFFF"/>
        </w:rPr>
        <w:t>旅行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shd w:val="clear" w:fill="FFFFFF"/>
        </w:rPr>
        <w:t>，去一个地方然后不一样的归来。旅行，是一种学习。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shd w:val="clear" w:fill="FFFFFF"/>
        </w:rPr>
        <w:t>     在旅行的时候，聆听内心的声音，他说，这世界比想象中宽阔。认识另外一个自己，是学习的本义，身体和灵魂总有一个在路上，起点和终点不止于地域和空间。旅行，不仅仅是用眼睛来欣赏景物。更重要的是把对人文的深刻感悟融入其中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shd w:val="clear" w:fill="FFFFFF"/>
        </w:rPr>
        <w:t>      文化，是旅游的灵魂，在学习和体验中修行，重塑对世界的认知。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B49C69"/>
          <w:spacing w:val="15"/>
          <w:sz w:val="22"/>
          <w:szCs w:val="22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8"/>
          <w:sz w:val="22"/>
          <w:szCs w:val="22"/>
          <w:shd w:val="clear" w:fill="FFFFFF"/>
        </w:rPr>
        <w:t>      和名师游中国、游世界，实现“高质量”环球旅行的梦想，沉淀企业家人文底蕴，旅行家学院史学班应运而生。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B49C69"/>
          <w:spacing w:val="15"/>
          <w:sz w:val="22"/>
          <w:szCs w:val="22"/>
          <w:shd w:val="clear" w:fill="FFFBF1"/>
        </w:rPr>
        <w:br w:type="textWrapping"/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B49C69"/>
          <w:spacing w:val="15"/>
          <w:sz w:val="22"/>
          <w:szCs w:val="22"/>
          <w:shd w:val="clear" w:fill="FFFBF1"/>
        </w:rPr>
        <w:t>历史是人类最好的老师——习近平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BF1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B49C69"/>
          <w:spacing w:val="15"/>
          <w:sz w:val="22"/>
          <w:szCs w:val="22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B49C69"/>
          <w:spacing w:val="15"/>
          <w:sz w:val="22"/>
          <w:szCs w:val="22"/>
          <w:shd w:val="clear" w:fill="FFFBF1"/>
        </w:rPr>
        <w:t>你能看到多远的过去，就能看到多远的未来——丘吉尔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BF1"/>
        <w:spacing w:before="0" w:beforeAutospacing="0" w:after="0" w:afterAutospacing="0"/>
        <w:ind w:left="0" w:right="0" w:firstLine="0"/>
        <w:jc w:val="both"/>
        <w:rPr>
          <w:rStyle w:val="5"/>
          <w:rFonts w:hint="eastAsia" w:ascii="微软雅黑" w:hAnsi="微软雅黑" w:eastAsia="微软雅黑" w:cs="微软雅黑"/>
          <w:color w:val="930B04"/>
          <w:sz w:val="27"/>
          <w:szCs w:val="27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B49C69"/>
          <w:spacing w:val="15"/>
          <w:sz w:val="22"/>
          <w:szCs w:val="22"/>
          <w:shd w:val="clear" w:fill="FFFBF1"/>
        </w:rPr>
        <w:t>不读中国史，不知中国之伟大；不读世界史，不知中国之特质。——张宏杰</w:t>
      </w:r>
    </w:p>
    <w:tbl>
      <w:tblPr>
        <w:tblStyle w:val="3"/>
        <w:tblW w:w="485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FFFFFF" w:themeColor="background1"/>
                <w:sz w:val="27"/>
                <w:szCs w:val="27"/>
                <w14:textFill>
                  <w14:solidFill>
                    <w14:schemeClr w14:val="bg1"/>
                  </w14:solidFill>
                </w14:textFill>
              </w:rPr>
              <w:t>史学班·课程宗旨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240" w:firstLineChars="10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经史合参，寓学于游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center"/>
        <w:textAlignment w:val="auto"/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14:textFill>
            <w14:solidFill>
              <w14:schemeClr w14:val="bg1"/>
            </w14:solidFill>
          </w14:textFill>
        </w:rPr>
      </w:pPr>
      <w:r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14:textFill>
            <w14:solidFill>
              <w14:schemeClr w14:val="bg1"/>
            </w14:solidFill>
          </w14:textFill>
        </w:rPr>
        <w:t>史</w:t>
      </w:r>
    </w:p>
    <w:tbl>
      <w:tblPr>
        <w:tblStyle w:val="3"/>
        <w:tblW w:w="485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FFFFFF" w:themeColor="background1"/>
                <w:sz w:val="27"/>
                <w:szCs w:val="27"/>
                <w14:textFill>
                  <w14:solidFill>
                    <w14:schemeClr w14:val="bg1"/>
                  </w14:solidFill>
                </w14:textFill>
              </w:rPr>
              <w:t>史学班·课程</w:t>
            </w:r>
            <w:r>
              <w:rPr>
                <w:rStyle w:val="5"/>
                <w:rFonts w:hint="eastAsia" w:ascii="微软雅黑" w:hAnsi="微软雅黑" w:eastAsia="微软雅黑" w:cs="微软雅黑"/>
                <w:color w:val="FFFFFF" w:themeColor="background1"/>
                <w:sz w:val="27"/>
                <w:szCs w:val="27"/>
                <w:lang w:eastAsia="zh-CN"/>
                <w14:textFill>
                  <w14:solidFill>
                    <w14:schemeClr w14:val="bg1"/>
                  </w14:solidFill>
                </w14:textFill>
              </w:rPr>
              <w:t>定位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</w:rPr>
      </w:pPr>
      <w:r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val="en-US" w:eastAsia="zh-CN"/>
          <w14:textFill>
            <w14:solidFill>
              <w14:schemeClr w14:val="bg1"/>
            </w14:solidFill>
          </w14:textFill>
        </w:rPr>
        <w:t>-</w:t>
      </w:r>
      <w:r>
        <w:rPr>
          <w:rFonts w:hint="eastAsia" w:ascii="微软雅黑" w:hAnsi="微软雅黑" w:eastAsia="微软雅黑" w:cs="微软雅黑"/>
        </w:rPr>
        <w:t>培养思维，打开全球视野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树立文化自信，探寻文化历史传承</w:t>
      </w:r>
    </w:p>
    <w:tbl>
      <w:tblPr>
        <w:tblStyle w:val="3"/>
        <w:tblW w:w="485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FFFFFF" w:themeColor="background1"/>
                <w:sz w:val="27"/>
                <w:szCs w:val="27"/>
                <w14:textFill>
                  <w14:solidFill>
                    <w14:schemeClr w14:val="bg1"/>
                  </w14:solidFill>
                </w14:textFill>
              </w:rPr>
              <w:t>史学班·课程</w:t>
            </w:r>
            <w:r>
              <w:rPr>
                <w:rStyle w:val="5"/>
                <w:rFonts w:hint="eastAsia" w:ascii="微软雅黑" w:hAnsi="微软雅黑" w:eastAsia="微软雅黑" w:cs="微软雅黑"/>
                <w:color w:val="FFFFFF" w:themeColor="background1"/>
                <w:sz w:val="27"/>
                <w:szCs w:val="27"/>
                <w:lang w:eastAsia="zh-CN"/>
                <w14:textFill>
                  <w14:solidFill>
                    <w14:schemeClr w14:val="bg1"/>
                  </w14:solidFill>
                </w14:textFill>
              </w:rPr>
              <w:t>体系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以制度与管理为中心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以历史发展为线索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以历史人物为实例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以史学经典为源泉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5"/>
          <w:rFonts w:hint="eastAsia" w:ascii="微软雅黑" w:hAnsi="微软雅黑" w:eastAsia="微软雅黑" w:cs="微软雅黑"/>
          <w:color w:val="930B04"/>
          <w:sz w:val="27"/>
          <w:szCs w:val="27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center"/>
        <w:textAlignment w:val="auto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Style w:val="5"/>
          <w:rFonts w:hint="eastAsia" w:ascii="微软雅黑" w:hAnsi="微软雅黑" w:eastAsia="微软雅黑" w:cs="微软雅黑"/>
          <w:color w:val="930B04"/>
          <w:sz w:val="27"/>
          <w:szCs w:val="27"/>
        </w:rPr>
        <w:t>史学智慧与文化传承高级研修班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</w:rPr>
      </w:pPr>
      <w:r>
        <w:rPr>
          <w:rStyle w:val="5"/>
          <w:rFonts w:hint="eastAsia" w:ascii="微软雅黑" w:hAnsi="微软雅黑" w:eastAsia="微软雅黑" w:cs="微软雅黑"/>
          <w:color w:val="930B04"/>
          <w:sz w:val="27"/>
          <w:szCs w:val="27"/>
        </w:rPr>
        <w:t>课程体系</w:t>
      </w:r>
    </w:p>
    <w:tbl>
      <w:tblPr>
        <w:tblStyle w:val="3"/>
        <w:tblW w:w="101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34"/>
        <w:gridCol w:w="75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</w:rPr>
              <w:t>第一篇章：立足中国（中国史）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课程一</w:t>
            </w:r>
          </w:p>
        </w:tc>
        <w:tc>
          <w:tcPr>
            <w:tcW w:w="3568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shd w:val="clear" w:fill="F7F7F7"/>
              </w:rPr>
              <w:t>《大秦崛起》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课程二</w:t>
            </w:r>
          </w:p>
        </w:tc>
        <w:tc>
          <w:tcPr>
            <w:tcW w:w="3568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shd w:val="clear" w:fill="F7F7F7"/>
              </w:rPr>
              <w:t>《汉武盛世的历史透视》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课程三</w:t>
            </w:r>
          </w:p>
        </w:tc>
        <w:tc>
          <w:tcPr>
            <w:tcW w:w="3568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shd w:val="clear" w:fill="F7F7F7"/>
              </w:rPr>
              <w:t>《唐王朝兴盛之路》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课程四</w:t>
            </w:r>
          </w:p>
        </w:tc>
        <w:tc>
          <w:tcPr>
            <w:tcW w:w="3568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shd w:val="clear" w:fill="F7F7F7"/>
              </w:rPr>
              <w:t>《宋代历史再认识》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课程五</w:t>
            </w:r>
          </w:p>
        </w:tc>
        <w:tc>
          <w:tcPr>
            <w:tcW w:w="3568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shd w:val="clear" w:fill="F7F7F7"/>
              </w:rPr>
              <w:t>《蒙古帝国视野下的元史》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课程六</w:t>
            </w:r>
          </w:p>
        </w:tc>
        <w:tc>
          <w:tcPr>
            <w:tcW w:w="3568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shd w:val="clear" w:fill="F7F7F7"/>
              </w:rPr>
              <w:t>《大明王朝兴衰史》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课程七</w:t>
            </w:r>
          </w:p>
        </w:tc>
        <w:tc>
          <w:tcPr>
            <w:tcW w:w="3568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shd w:val="clear" w:fill="F7F7F7"/>
              </w:rPr>
              <w:t>《康乾盛世新解》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</w:p>
    <w:tbl>
      <w:tblPr>
        <w:tblStyle w:val="3"/>
        <w:tblW w:w="101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34"/>
        <w:gridCol w:w="75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</w:rPr>
              <w:t>第二篇章：放眼世界（世界史）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课程一</w:t>
            </w:r>
          </w:p>
        </w:tc>
        <w:tc>
          <w:tcPr>
            <w:tcW w:w="3568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《德意志历史上的王朝》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课程二</w:t>
            </w:r>
          </w:p>
        </w:tc>
        <w:tc>
          <w:tcPr>
            <w:tcW w:w="3568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《俄罗斯帝国与东欧转轨》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课程三</w:t>
            </w:r>
          </w:p>
        </w:tc>
        <w:tc>
          <w:tcPr>
            <w:tcW w:w="3568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《失落的文明：印度史》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课程四</w:t>
            </w:r>
          </w:p>
        </w:tc>
        <w:tc>
          <w:tcPr>
            <w:tcW w:w="3568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《百年激荡日本史》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0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课程五</w:t>
            </w:r>
          </w:p>
        </w:tc>
        <w:tc>
          <w:tcPr>
            <w:tcW w:w="3568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《战争与和平：美国史》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</w:p>
    <w:tbl>
      <w:tblPr>
        <w:tblStyle w:val="3"/>
        <w:tblW w:w="101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</w:rPr>
              <w:t>第三篇章：始于足下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</w:rPr>
              <w:t>国内游学线路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1、 西安（秦史、汉唐史），十三朝古都， 中国历史上建都最长的城市。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2、成都（魏晋南北朝史）， 三国蜀汉的首都，魏晋南北朝时期极知名的城市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3、 杭州（宋史），南宋的都城，八大古都之一。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4、呼和浩特（元史），内蒙古首府。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5、 南京（明史），明朝前期的首都，后来的南都，四大古都之一。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6、 重庆（晚清民国史）：抗战重镇，现国家级中心城市。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7、 河南（中原文化起源地）：殷墟，曹操墓，京杭大运河，洛阳古都。</w:t>
            </w:r>
          </w:p>
        </w:tc>
      </w:tr>
    </w:tbl>
    <w:p>
      <w:pPr>
        <w:rPr>
          <w:rFonts w:hint="eastAsia" w:ascii="微软雅黑" w:hAnsi="微软雅黑" w:eastAsia="微软雅黑" w:cs="微软雅黑"/>
          <w:vanish/>
          <w:sz w:val="24"/>
          <w:szCs w:val="24"/>
        </w:rPr>
      </w:pPr>
    </w:p>
    <w:tbl>
      <w:tblPr>
        <w:tblStyle w:val="3"/>
        <w:tblW w:w="101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微软雅黑" w:hAnsi="微软雅黑" w:eastAsia="微软雅黑" w:cs="微软雅黑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</w:rPr>
              <w:t>国外游学线路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1、希腊、土耳其：西方文明溯源。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2、欧洲各国：近代工业革命，西方组织变革，西方大国的崛起和兴衰。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3、 日本：东洋史，大和民族史。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4、中东、以色列、德国、意大利等等。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</w:p>
    <w:tbl>
      <w:tblPr>
        <w:tblStyle w:val="3"/>
        <w:tblW w:w="101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32"/>
        <w:gridCol w:w="75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</w:rPr>
              <w:t>第四篇章：人文讲坛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96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主题一</w:t>
            </w:r>
          </w:p>
        </w:tc>
        <w:tc>
          <w:tcPr>
            <w:tcW w:w="3703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中华饮食文化漫谈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96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主题二</w:t>
            </w:r>
          </w:p>
        </w:tc>
        <w:tc>
          <w:tcPr>
            <w:tcW w:w="3703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中国古代礼仪文明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96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主题三</w:t>
            </w:r>
          </w:p>
        </w:tc>
        <w:tc>
          <w:tcPr>
            <w:tcW w:w="3703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南极与北极：冰世界的中国梦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96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主题四</w:t>
            </w:r>
          </w:p>
        </w:tc>
        <w:tc>
          <w:tcPr>
            <w:tcW w:w="3703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艺术品鉴赏之古玩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96" w:type="pct"/>
            <w:tcBorders>
              <w:top w:val="nil"/>
              <w:left w:val="nil"/>
              <w:bottom w:val="dashed" w:color="CAC6C6" w:sz="6" w:space="0"/>
              <w:right w:val="single" w:color="3E3E3E" w:sz="2" w:space="0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主题五</w:t>
            </w:r>
          </w:p>
        </w:tc>
        <w:tc>
          <w:tcPr>
            <w:tcW w:w="3703" w:type="pct"/>
            <w:tcBorders>
              <w:top w:val="nil"/>
              <w:left w:val="nil"/>
              <w:bottom w:val="dashed" w:color="CAC6C6" w:sz="6" w:space="0"/>
              <w:right w:val="nil"/>
            </w:tcBorders>
            <w:shd w:val="clear" w:color="auto" w:fill="F7F7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禅宗智慧与心灵修炼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tbl>
      <w:tblPr>
        <w:tblStyle w:val="3"/>
        <w:tblW w:w="485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FFFFFF" w:themeColor="background1"/>
                <w:sz w:val="27"/>
                <w:szCs w:val="27"/>
                <w:lang w:eastAsia="zh-CN"/>
                <w14:textFill>
                  <w14:solidFill>
                    <w14:schemeClr w14:val="bg1"/>
                  </w14:solidFill>
                </w14:textFill>
              </w:rPr>
              <w:t>师资阵容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中国当世第一流的史学大家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关键词：大师、权威、首席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中央“省部级领导干部历史读书会”核心师资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中央电视台《百家讲坛》历史师资团队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史学界在世各领域“首席专家”和学术权威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部分师资如下：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4943475" cy="6686550"/>
            <wp:effectExtent l="0" t="0" r="9525" b="0"/>
            <wp:docPr id="7" name="图片 7" descr="162071969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20719690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4639945" cy="2937510"/>
            <wp:effectExtent l="0" t="0" r="8255" b="15240"/>
            <wp:docPr id="8" name="图片 8" descr="162071971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20719710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39945" cy="293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4943475" cy="6372225"/>
            <wp:effectExtent l="0" t="0" r="9525" b="9525"/>
            <wp:docPr id="9" name="图片 9" descr="162071975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20719754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4914900" cy="2943225"/>
            <wp:effectExtent l="0" t="0" r="0" b="9525"/>
            <wp:docPr id="10" name="图片 10" descr="162071978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620719781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4810125" cy="3295650"/>
            <wp:effectExtent l="0" t="0" r="9525" b="0"/>
            <wp:docPr id="11" name="图片 11" descr="162071979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620719793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lang w:eastAsia="zh-CN"/>
        </w:rPr>
      </w:pPr>
    </w:p>
    <w:tbl>
      <w:tblPr>
        <w:tblStyle w:val="3"/>
        <w:tblW w:w="485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FFFFFF" w:themeColor="background1"/>
                <w:sz w:val="27"/>
                <w:szCs w:val="27"/>
                <w:lang w:eastAsia="zh-CN"/>
                <w14:textFill>
                  <w14:solidFill>
                    <w14:schemeClr w14:val="bg1"/>
                  </w14:solidFill>
                </w14:textFill>
              </w:rPr>
              <w:t>史学班·课程学制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史学班含中国史和世界史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中国史和世界史共为12大模块课程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每个模块学习时间为2天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（理论学习+主题研讨+历史名胜实地考察+著名企业参访）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2个月上一次课，一个季度一次游学，全部课程在两年内完成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eastAsia="zh-CN"/>
          <w14:textFill>
            <w14:solidFill>
              <w14:schemeClr w14:val="bg1"/>
            </w14:solidFill>
          </w14:textFill>
        </w:rPr>
      </w:pPr>
    </w:p>
    <w:tbl>
      <w:tblPr>
        <w:tblStyle w:val="3"/>
        <w:tblW w:w="485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FFFFFF" w:themeColor="background1"/>
                <w:sz w:val="27"/>
                <w:szCs w:val="27"/>
                <w:lang w:eastAsia="zh-CN"/>
                <w14:textFill>
                  <w14:solidFill>
                    <w14:schemeClr w14:val="bg1"/>
                  </w14:solidFill>
                </w14:textFill>
              </w:rPr>
              <w:t>史学班·学习费用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val="en-US" w:eastAsia="zh-CN"/>
          <w14:textFill>
            <w14:solidFill>
              <w14:schemeClr w14:val="bg1"/>
            </w14:solidFill>
          </w14:textFill>
        </w:rPr>
        <w:t>=</w:t>
      </w:r>
      <w:r>
        <w:rPr>
          <w:rFonts w:hint="eastAsia" w:ascii="微软雅黑" w:hAnsi="微软雅黑" w:eastAsia="微软雅黑" w:cs="微软雅黑"/>
        </w:rPr>
        <w:t>学习费用：</w:t>
      </w:r>
      <w:r>
        <w:rPr>
          <w:rFonts w:hint="eastAsia" w:ascii="微软雅黑" w:hAnsi="微软雅黑" w:eastAsia="微软雅黑" w:cs="微软雅黑"/>
          <w:lang w:val="en-US" w:eastAsia="zh-CN"/>
        </w:rPr>
        <w:t>99</w:t>
      </w:r>
      <w:r>
        <w:rPr>
          <w:rFonts w:hint="eastAsia" w:ascii="微软雅黑" w:hAnsi="微软雅黑" w:eastAsia="微软雅黑" w:cs="微软雅黑"/>
        </w:rPr>
        <w:t>000元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（含学费、讲义费、教学管理费、正课茶歇费，不含游学差旅费费用）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</w:p>
    <w:tbl>
      <w:tblPr>
        <w:tblStyle w:val="3"/>
        <w:tblW w:w="485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FFFFFF" w:themeColor="background1"/>
                <w:sz w:val="27"/>
                <w:szCs w:val="27"/>
                <w:lang w:eastAsia="zh-CN"/>
                <w14:textFill>
                  <w14:solidFill>
                    <w14:schemeClr w14:val="bg1"/>
                  </w14:solidFill>
                </w14:textFill>
              </w:rPr>
              <w:t>史学班·招生对象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招生对象：企业董事长、总裁、总经理等历史爱好者；关注人文素养提升及企业文化传承的企业家。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</w:p>
    <w:tbl>
      <w:tblPr>
        <w:tblStyle w:val="3"/>
        <w:tblW w:w="485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FFFFFF" w:themeColor="background1"/>
                <w:sz w:val="27"/>
                <w:szCs w:val="27"/>
                <w:lang w:eastAsia="zh-CN"/>
                <w14:textFill>
                  <w14:solidFill>
                    <w14:schemeClr w14:val="bg1"/>
                  </w14:solidFill>
                </w14:textFill>
              </w:rPr>
              <w:t>史学班·入学程序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提交报名表及个人资料 → 入学资格审核 → 发放录取通知书 →交纳学费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2"/>
          <w:szCs w:val="22"/>
        </w:rPr>
        <w:t>（学员须提交身份证复印件、名片2张、背书姓名的2寸彩照4张、公司文字简介、学历证明）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</w:p>
    <w:tbl>
      <w:tblPr>
        <w:tblStyle w:val="3"/>
        <w:tblW w:w="485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FFFFFF" w:themeColor="background1"/>
                <w:sz w:val="27"/>
                <w:szCs w:val="27"/>
                <w:lang w:eastAsia="zh-CN"/>
                <w14:textFill>
                  <w14:solidFill>
                    <w14:schemeClr w14:val="bg1"/>
                  </w14:solidFill>
                </w14:textFill>
              </w:rPr>
              <w:t>史学班·入班权益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Style w:val="5"/>
          <w:rFonts w:hint="eastAsia" w:ascii="微软雅黑" w:hAnsi="微软雅黑" w:eastAsia="微软雅黑" w:cs="微软雅黑"/>
        </w:rPr>
        <w:t>大师指引 </w:t>
      </w:r>
      <w:r>
        <w:rPr>
          <w:rFonts w:hint="eastAsia" w:ascii="微软雅黑" w:hAnsi="微软雅黑" w:eastAsia="微软雅黑" w:cs="微软雅黑"/>
        </w:rPr>
        <w:t>大师结缘，领悟得岂止是学问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</w:rPr>
      </w:pPr>
      <w:r>
        <w:rPr>
          <w:rStyle w:val="5"/>
          <w:rFonts w:hint="eastAsia" w:ascii="微软雅黑" w:hAnsi="微软雅黑" w:eastAsia="微软雅黑" w:cs="微软雅黑"/>
        </w:rPr>
        <w:t>古城熏陶 </w:t>
      </w:r>
      <w:r>
        <w:rPr>
          <w:rFonts w:hint="eastAsia" w:ascii="微软雅黑" w:hAnsi="微软雅黑" w:eastAsia="微软雅黑" w:cs="微软雅黑"/>
        </w:rPr>
        <w:t>专家教授导游，感受得岂止是魅力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</w:rPr>
      </w:pPr>
      <w:r>
        <w:rPr>
          <w:rStyle w:val="5"/>
          <w:rFonts w:hint="eastAsia" w:ascii="微软雅黑" w:hAnsi="微软雅黑" w:eastAsia="微软雅黑" w:cs="微软雅黑"/>
        </w:rPr>
        <w:t>感受名企 </w:t>
      </w:r>
      <w:r>
        <w:rPr>
          <w:rFonts w:hint="eastAsia" w:ascii="微软雅黑" w:hAnsi="微软雅黑" w:eastAsia="微软雅黑" w:cs="微软雅黑"/>
        </w:rPr>
        <w:t>同门相伴，收获得岂止是经历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</w:rPr>
      </w:pPr>
    </w:p>
    <w:tbl>
      <w:tblPr>
        <w:tblStyle w:val="3"/>
        <w:tblW w:w="485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FFFFFF" w:themeColor="background1"/>
                <w:sz w:val="27"/>
                <w:szCs w:val="27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课堂剪影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6640830" cy="3329305"/>
            <wp:effectExtent l="0" t="0" r="7620" b="4445"/>
            <wp:docPr id="18" name="图片 18" descr="162072002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620720024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8610"/>
        </w:tabs>
        <w:spacing w:before="0" w:beforeAutospacing="0" w:after="0" w:afterAutospacing="0"/>
        <w:ind w:left="0" w:right="0"/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val="en-US" w:eastAsia="zh-CN"/>
          <w14:textFill>
            <w14:solidFill>
              <w14:schemeClr w14:val="bg1"/>
            </w14:solidFill>
          </w14:textFill>
        </w:rPr>
        <w:t>课堂剪</w:t>
      </w:r>
    </w:p>
    <w:tbl>
      <w:tblPr>
        <w:tblStyle w:val="3"/>
        <w:tblW w:w="485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FFFFFF" w:themeColor="background1"/>
                <w:sz w:val="27"/>
                <w:szCs w:val="27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部分活动照片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8610"/>
        </w:tabs>
        <w:spacing w:before="0" w:beforeAutospacing="0" w:after="0" w:afterAutospacing="0"/>
        <w:ind w:left="0" w:right="0"/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val="en-US" w:eastAsia="zh-CN"/>
          <w14:textFill>
            <w14:solidFill>
              <w14:schemeClr w14:val="bg1"/>
            </w14:solidFill>
          </w14:textFill>
        </w:rPr>
        <w:t>影</w:t>
      </w:r>
      <w:r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val="en-US" w:eastAsia="zh-CN"/>
          <w14:textFill>
            <w14:solidFill>
              <w14:schemeClr w14:val="bg1"/>
            </w14:solidFill>
          </w14:textFill>
        </w:rPr>
        <w:drawing>
          <wp:inline distT="0" distB="0" distL="114300" distR="114300">
            <wp:extent cx="6640195" cy="3747135"/>
            <wp:effectExtent l="0" t="0" r="8255" b="5715"/>
            <wp:docPr id="19" name="图片 19" descr="162072010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620720105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374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8610"/>
        </w:tabs>
        <w:spacing w:before="0" w:beforeAutospacing="0" w:after="0" w:afterAutospacing="0"/>
        <w:ind w:left="0" w:right="0"/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val="en-US" w:eastAsia="zh-CN"/>
          <w14:textFill>
            <w14:solidFill>
              <w14:schemeClr w14:val="bg1"/>
            </w14:solidFill>
          </w14:textFill>
        </w:rPr>
        <w:drawing>
          <wp:inline distT="0" distB="0" distL="114300" distR="114300">
            <wp:extent cx="6642735" cy="4370070"/>
            <wp:effectExtent l="0" t="0" r="5715" b="11430"/>
            <wp:docPr id="20" name="图片 20" descr="162072011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620720114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437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"/>
        <w:tblW w:w="485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880F0F"/>
            <w:tcMar>
              <w:top w:w="150" w:type="dxa"/>
              <w:bottom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FFFFFF" w:themeColor="background1"/>
                <w:sz w:val="27"/>
                <w:szCs w:val="27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部分优秀学员代表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8610"/>
        </w:tabs>
        <w:spacing w:before="0" w:beforeAutospacing="0" w:after="0" w:afterAutospacing="0"/>
        <w:ind w:left="0" w:right="0"/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val="en-US" w:eastAsia="zh-CN"/>
          <w14:textFill>
            <w14:solidFill>
              <w14:schemeClr w14:val="bg1"/>
            </w14:solidFill>
          </w14:textFill>
        </w:rPr>
        <w:drawing>
          <wp:inline distT="0" distB="0" distL="114300" distR="114300">
            <wp:extent cx="6640830" cy="6991985"/>
            <wp:effectExtent l="0" t="0" r="7620" b="18415"/>
            <wp:docPr id="33" name="图片 33" descr="162072025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620720252(1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699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val="en-US" w:eastAsia="zh-CN"/>
          <w14:textFill>
            <w14:solidFill>
              <w14:schemeClr w14:val="bg1"/>
            </w14:solidFill>
          </w14:textFill>
        </w:rPr>
        <w:drawing>
          <wp:inline distT="0" distB="0" distL="114300" distR="114300">
            <wp:extent cx="6610350" cy="1762125"/>
            <wp:effectExtent l="0" t="0" r="0" b="9525"/>
            <wp:docPr id="34" name="图片 34" descr="162072029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620720292(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103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8610"/>
        </w:tabs>
        <w:spacing w:before="0" w:beforeAutospacing="0" w:after="0" w:afterAutospacing="0"/>
        <w:ind w:left="0" w:right="0"/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val="en-US" w:eastAsia="zh-CN"/>
          <w14:textFill>
            <w14:solidFill>
              <w14:schemeClr w14:val="bg1"/>
            </w14:solidFill>
          </w14:textFill>
        </w:rPr>
        <w:drawing>
          <wp:inline distT="0" distB="0" distL="114300" distR="114300">
            <wp:extent cx="6629400" cy="6972300"/>
            <wp:effectExtent l="0" t="0" r="0" b="0"/>
            <wp:docPr id="35" name="图片 35" descr="162072031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620720310(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8610"/>
        </w:tabs>
        <w:spacing w:before="0" w:beforeAutospacing="0" w:after="0" w:afterAutospacing="0"/>
        <w:ind w:left="0" w:right="0"/>
        <w:rPr>
          <w:rStyle w:val="5"/>
          <w:rFonts w:hint="eastAsia" w:ascii="微软雅黑" w:hAnsi="微软雅黑" w:eastAsia="微软雅黑" w:cs="微软雅黑"/>
          <w:color w:val="FFFFFF" w:themeColor="background1"/>
          <w:sz w:val="27"/>
          <w:szCs w:val="27"/>
          <w:lang w:val="en-US" w:eastAsia="zh-CN"/>
          <w14:textFill>
            <w14:solidFill>
              <w14:schemeClr w14:val="bg1"/>
            </w14:solidFill>
          </w14:textFill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394C82"/>
    <w:rsid w:val="77D5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时代华商渠道部李嘉敏</cp:lastModifiedBy>
  <dcterms:modified xsi:type="dcterms:W3CDTF">2021-06-23T03:05:30Z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A882B304BF474570B9F0385C161E3424</vt:lpwstr>
  </property>
</Properties>
</file>